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F994F" w14:textId="77777777" w:rsidR="00433C46" w:rsidRPr="000C56AF" w:rsidRDefault="00CC15A7" w:rsidP="006C4B06">
      <w:pPr>
        <w:jc w:val="right"/>
      </w:pPr>
      <w:r w:rsidRPr="000C56AF">
        <w:rPr>
          <w:noProof/>
        </w:rPr>
        <w:drawing>
          <wp:inline distT="0" distB="0" distL="0" distR="0" wp14:anchorId="78A4F127" wp14:editId="6AC46CB6">
            <wp:extent cx="2518210" cy="131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ctor-logo-CMYK.png"/>
                    <pic:cNvPicPr/>
                  </pic:nvPicPr>
                  <pic:blipFill>
                    <a:blip r:embed="rId11" cstate="print">
                      <a:extLst>
                        <a:ext uri="{28A0092B-C50C-407E-A947-70E740481C1C}">
                          <a14:useLocalDpi xmlns:a14="http://schemas.microsoft.com/office/drawing/2010/main" val="0"/>
                        </a:ext>
                      </a:extLst>
                    </a:blip>
                    <a:srcRect r="4440"/>
                    <a:stretch>
                      <a:fillRect/>
                    </a:stretch>
                  </pic:blipFill>
                  <pic:spPr bwMode="auto">
                    <a:xfrm>
                      <a:off x="0" y="0"/>
                      <a:ext cx="2518210" cy="1317600"/>
                    </a:xfrm>
                    <a:prstGeom prst="rect">
                      <a:avLst/>
                    </a:prstGeom>
                    <a:ln>
                      <a:noFill/>
                    </a:ln>
                    <a:extLst>
                      <a:ext uri="{53640926-AAD7-44D8-BBD7-CCE9431645EC}">
                        <a14:shadowObscured xmlns:a14="http://schemas.microsoft.com/office/drawing/2010/main"/>
                      </a:ext>
                    </a:extLst>
                  </pic:spPr>
                </pic:pic>
              </a:graphicData>
            </a:graphic>
          </wp:inline>
        </w:drawing>
      </w:r>
    </w:p>
    <w:p w14:paraId="3729BC33" w14:textId="3C2ECE5E" w:rsidR="00E81572" w:rsidRDefault="00CC15A7" w:rsidP="00004AF6">
      <w:pPr>
        <w:pStyle w:val="Title"/>
      </w:pPr>
      <w:r>
        <w:t xml:space="preserve">Planning Bill 2025 </w:t>
      </w:r>
    </w:p>
    <w:p w14:paraId="48D9EE4D" w14:textId="0BCB8FAA" w:rsidR="00004AF6" w:rsidRPr="00004AF6" w:rsidRDefault="00CC15A7" w:rsidP="00004AF6">
      <w:pPr>
        <w:pStyle w:val="Title"/>
      </w:pPr>
      <w:r>
        <w:t xml:space="preserve">and </w:t>
      </w:r>
      <w:r>
        <w:br/>
        <w:t xml:space="preserve">Natural Environment Bill 2025 </w:t>
      </w:r>
    </w:p>
    <w:p w14:paraId="5F0A847E" w14:textId="0AB55F3A" w:rsidR="00837C43" w:rsidRDefault="00CC15A7" w:rsidP="00004AF6">
      <w:pPr>
        <w:pStyle w:val="Subtitle"/>
      </w:pPr>
      <w:r>
        <w:t>Vector Limited Submission</w:t>
      </w:r>
    </w:p>
    <w:p w14:paraId="3189BF80" w14:textId="77777777" w:rsidR="00837C43" w:rsidRDefault="00837C43" w:rsidP="00C641B7">
      <w:pPr>
        <w:pStyle w:val="Instructions"/>
      </w:pPr>
    </w:p>
    <w:p w14:paraId="5D853CF8" w14:textId="01869E6A" w:rsidR="00004AF6" w:rsidRPr="00092172" w:rsidRDefault="00CC15A7" w:rsidP="00004AF6">
      <w:pPr>
        <w:pStyle w:val="Subtitle"/>
      </w:pPr>
      <w:r>
        <w:t>13 February 2026</w:t>
      </w:r>
    </w:p>
    <w:p w14:paraId="0C84504B" w14:textId="77777777" w:rsidR="00837C43" w:rsidRDefault="00837C43" w:rsidP="00C641B7">
      <w:pPr>
        <w:pStyle w:val="Instructions"/>
      </w:pPr>
    </w:p>
    <w:p w14:paraId="4B0908F7" w14:textId="77777777" w:rsidR="00837C43" w:rsidRDefault="00837C43" w:rsidP="00C641B7">
      <w:pPr>
        <w:pStyle w:val="Instructions"/>
      </w:pPr>
    </w:p>
    <w:p w14:paraId="34A9BCA7" w14:textId="77777777" w:rsidR="00837C43" w:rsidRDefault="00837C43" w:rsidP="00C641B7">
      <w:pPr>
        <w:pStyle w:val="Instructions"/>
      </w:pPr>
    </w:p>
    <w:p w14:paraId="6EB73319" w14:textId="77777777" w:rsidR="00837C43" w:rsidRDefault="00837C43" w:rsidP="00C641B7">
      <w:pPr>
        <w:pStyle w:val="Instructions"/>
      </w:pPr>
    </w:p>
    <w:p w14:paraId="05303D86" w14:textId="77777777" w:rsidR="00837C43" w:rsidRDefault="00837C43" w:rsidP="00C641B7">
      <w:pPr>
        <w:pStyle w:val="Instructions"/>
      </w:pPr>
    </w:p>
    <w:p w14:paraId="26B4DF79" w14:textId="77777777" w:rsidR="00837C43" w:rsidRDefault="00837C43" w:rsidP="00C641B7">
      <w:pPr>
        <w:pStyle w:val="Instructions"/>
      </w:pPr>
    </w:p>
    <w:p w14:paraId="03EDFBBA" w14:textId="77777777" w:rsidR="00837C43" w:rsidRDefault="00837C43" w:rsidP="00C641B7">
      <w:pPr>
        <w:pStyle w:val="Instructions"/>
      </w:pPr>
    </w:p>
    <w:p w14:paraId="5BDECF15" w14:textId="77777777" w:rsidR="00837C43" w:rsidRDefault="00837C43" w:rsidP="00C641B7">
      <w:pPr>
        <w:pStyle w:val="Instructions"/>
      </w:pPr>
    </w:p>
    <w:p w14:paraId="66E2E91D" w14:textId="77777777" w:rsidR="00433C46" w:rsidRPr="000C56AF" w:rsidRDefault="00CC15A7" w:rsidP="00C641B7">
      <w:r w:rsidRPr="000C56AF">
        <w:br w:type="page"/>
      </w:r>
    </w:p>
    <w:p w14:paraId="2A15F0B4" w14:textId="77777777" w:rsidR="005D7223" w:rsidRPr="004D39A7" w:rsidRDefault="00CC15A7" w:rsidP="00231567">
      <w:pPr>
        <w:pStyle w:val="TOCHeading"/>
      </w:pPr>
      <w:r w:rsidRPr="004D39A7">
        <w:lastRenderedPageBreak/>
        <w:t xml:space="preserve">Table of </w:t>
      </w:r>
      <w:r w:rsidR="00092172" w:rsidRPr="004D39A7">
        <w:t>C</w:t>
      </w:r>
      <w:r w:rsidRPr="004D39A7">
        <w:t>ontents</w:t>
      </w:r>
    </w:p>
    <w:p w14:paraId="2D132AE8" w14:textId="4F3B6E35" w:rsidR="00AD023B" w:rsidRDefault="00CC15A7">
      <w:pPr>
        <w:pStyle w:val="TOC1"/>
        <w:rPr>
          <w:rFonts w:eastAsiaTheme="minorEastAsia"/>
          <w:noProof/>
          <w:kern w:val="2"/>
          <w:sz w:val="24"/>
          <w:szCs w:val="24"/>
          <w:lang w:eastAsia="en-NZ"/>
          <w14:ligatures w14:val="standardContextual"/>
        </w:rPr>
      </w:pPr>
      <w:r>
        <w:fldChar w:fldCharType="begin"/>
      </w:r>
      <w:r>
        <w:instrText xml:space="preserve"> TOC \o "1-3" \h \z \u </w:instrText>
      </w:r>
      <w:r>
        <w:fldChar w:fldCharType="separate"/>
      </w:r>
      <w:hyperlink w:anchor="_Toc221724894" w:history="1">
        <w:r w:rsidR="00AD023B" w:rsidRPr="00B13754">
          <w:rPr>
            <w:rStyle w:val="Hyperlink"/>
            <w:b/>
            <w:bCs/>
            <w:noProof/>
          </w:rPr>
          <w:t>Introduction</w:t>
        </w:r>
        <w:r w:rsidR="00AD023B">
          <w:rPr>
            <w:noProof/>
            <w:webHidden/>
          </w:rPr>
          <w:tab/>
        </w:r>
        <w:r w:rsidR="00AD023B">
          <w:rPr>
            <w:noProof/>
            <w:webHidden/>
          </w:rPr>
          <w:fldChar w:fldCharType="begin"/>
        </w:r>
        <w:r w:rsidR="00AD023B">
          <w:rPr>
            <w:noProof/>
            <w:webHidden/>
          </w:rPr>
          <w:instrText xml:space="preserve"> PAGEREF _Toc221724894 \h </w:instrText>
        </w:r>
        <w:r w:rsidR="00AD023B">
          <w:rPr>
            <w:noProof/>
            <w:webHidden/>
          </w:rPr>
        </w:r>
        <w:r w:rsidR="00AD023B">
          <w:rPr>
            <w:noProof/>
            <w:webHidden/>
          </w:rPr>
          <w:fldChar w:fldCharType="separate"/>
        </w:r>
        <w:r w:rsidR="00AD023B">
          <w:rPr>
            <w:noProof/>
            <w:webHidden/>
          </w:rPr>
          <w:t>3</w:t>
        </w:r>
        <w:r w:rsidR="00AD023B">
          <w:rPr>
            <w:noProof/>
            <w:webHidden/>
          </w:rPr>
          <w:fldChar w:fldCharType="end"/>
        </w:r>
      </w:hyperlink>
    </w:p>
    <w:p w14:paraId="5361C5D2" w14:textId="30D039AF" w:rsidR="00AD023B" w:rsidRDefault="00AD023B">
      <w:pPr>
        <w:pStyle w:val="TOC1"/>
        <w:rPr>
          <w:rFonts w:eastAsiaTheme="minorEastAsia"/>
          <w:noProof/>
          <w:kern w:val="2"/>
          <w:sz w:val="24"/>
          <w:szCs w:val="24"/>
          <w:lang w:eastAsia="en-NZ"/>
          <w14:ligatures w14:val="standardContextual"/>
        </w:rPr>
      </w:pPr>
      <w:hyperlink w:anchor="_Toc221724895" w:history="1">
        <w:r w:rsidRPr="00B13754">
          <w:rPr>
            <w:rStyle w:val="Hyperlink"/>
            <w:b/>
            <w:bCs/>
            <w:noProof/>
          </w:rPr>
          <w:t>About Vector</w:t>
        </w:r>
        <w:r>
          <w:rPr>
            <w:noProof/>
            <w:webHidden/>
          </w:rPr>
          <w:tab/>
        </w:r>
        <w:r>
          <w:rPr>
            <w:noProof/>
            <w:webHidden/>
          </w:rPr>
          <w:fldChar w:fldCharType="begin"/>
        </w:r>
        <w:r>
          <w:rPr>
            <w:noProof/>
            <w:webHidden/>
          </w:rPr>
          <w:instrText xml:space="preserve"> PAGEREF _Toc221724895 \h </w:instrText>
        </w:r>
        <w:r>
          <w:rPr>
            <w:noProof/>
            <w:webHidden/>
          </w:rPr>
        </w:r>
        <w:r>
          <w:rPr>
            <w:noProof/>
            <w:webHidden/>
          </w:rPr>
          <w:fldChar w:fldCharType="separate"/>
        </w:r>
        <w:r>
          <w:rPr>
            <w:noProof/>
            <w:webHidden/>
          </w:rPr>
          <w:t>3</w:t>
        </w:r>
        <w:r>
          <w:rPr>
            <w:noProof/>
            <w:webHidden/>
          </w:rPr>
          <w:fldChar w:fldCharType="end"/>
        </w:r>
      </w:hyperlink>
    </w:p>
    <w:p w14:paraId="68EEE453" w14:textId="5767F690" w:rsidR="00AD023B" w:rsidRDefault="00AD023B">
      <w:pPr>
        <w:pStyle w:val="TOC1"/>
        <w:rPr>
          <w:rFonts w:eastAsiaTheme="minorEastAsia"/>
          <w:noProof/>
          <w:kern w:val="2"/>
          <w:sz w:val="24"/>
          <w:szCs w:val="24"/>
          <w:lang w:eastAsia="en-NZ"/>
          <w14:ligatures w14:val="standardContextual"/>
        </w:rPr>
      </w:pPr>
      <w:hyperlink w:anchor="_Toc221724896" w:history="1">
        <w:r w:rsidRPr="00B13754">
          <w:rPr>
            <w:rStyle w:val="Hyperlink"/>
            <w:b/>
            <w:bCs/>
            <w:noProof/>
          </w:rPr>
          <w:t>Planning and electricity distribution networks</w:t>
        </w:r>
        <w:r>
          <w:rPr>
            <w:noProof/>
            <w:webHidden/>
          </w:rPr>
          <w:tab/>
        </w:r>
        <w:r>
          <w:rPr>
            <w:noProof/>
            <w:webHidden/>
          </w:rPr>
          <w:fldChar w:fldCharType="begin"/>
        </w:r>
        <w:r>
          <w:rPr>
            <w:noProof/>
            <w:webHidden/>
          </w:rPr>
          <w:instrText xml:space="preserve"> PAGEREF _Toc221724896 \h </w:instrText>
        </w:r>
        <w:r>
          <w:rPr>
            <w:noProof/>
            <w:webHidden/>
          </w:rPr>
        </w:r>
        <w:r>
          <w:rPr>
            <w:noProof/>
            <w:webHidden/>
          </w:rPr>
          <w:fldChar w:fldCharType="separate"/>
        </w:r>
        <w:r>
          <w:rPr>
            <w:noProof/>
            <w:webHidden/>
          </w:rPr>
          <w:t>5</w:t>
        </w:r>
        <w:r>
          <w:rPr>
            <w:noProof/>
            <w:webHidden/>
          </w:rPr>
          <w:fldChar w:fldCharType="end"/>
        </w:r>
      </w:hyperlink>
    </w:p>
    <w:p w14:paraId="2FBA3898" w14:textId="7D970C4D" w:rsidR="00AD023B" w:rsidRDefault="00AD023B">
      <w:pPr>
        <w:pStyle w:val="TOC1"/>
        <w:rPr>
          <w:rFonts w:eastAsiaTheme="minorEastAsia"/>
          <w:noProof/>
          <w:kern w:val="2"/>
          <w:sz w:val="24"/>
          <w:szCs w:val="24"/>
          <w:lang w:eastAsia="en-NZ"/>
          <w14:ligatures w14:val="standardContextual"/>
        </w:rPr>
      </w:pPr>
      <w:hyperlink w:anchor="_Toc221724897" w:history="1">
        <w:r w:rsidRPr="00B13754">
          <w:rPr>
            <w:rStyle w:val="Hyperlink"/>
            <w:b/>
            <w:bCs/>
            <w:noProof/>
          </w:rPr>
          <w:t>Planning system architecture</w:t>
        </w:r>
        <w:r>
          <w:rPr>
            <w:noProof/>
            <w:webHidden/>
          </w:rPr>
          <w:tab/>
        </w:r>
        <w:r>
          <w:rPr>
            <w:noProof/>
            <w:webHidden/>
          </w:rPr>
          <w:fldChar w:fldCharType="begin"/>
        </w:r>
        <w:r>
          <w:rPr>
            <w:noProof/>
            <w:webHidden/>
          </w:rPr>
          <w:instrText xml:space="preserve"> PAGEREF _Toc221724897 \h </w:instrText>
        </w:r>
        <w:r>
          <w:rPr>
            <w:noProof/>
            <w:webHidden/>
          </w:rPr>
        </w:r>
        <w:r>
          <w:rPr>
            <w:noProof/>
            <w:webHidden/>
          </w:rPr>
          <w:fldChar w:fldCharType="separate"/>
        </w:r>
        <w:r>
          <w:rPr>
            <w:noProof/>
            <w:webHidden/>
          </w:rPr>
          <w:t>6</w:t>
        </w:r>
        <w:r>
          <w:rPr>
            <w:noProof/>
            <w:webHidden/>
          </w:rPr>
          <w:fldChar w:fldCharType="end"/>
        </w:r>
      </w:hyperlink>
    </w:p>
    <w:p w14:paraId="1619DD0A" w14:textId="2CFF064D" w:rsidR="00AD023B" w:rsidRDefault="00AD023B">
      <w:pPr>
        <w:pStyle w:val="TOC1"/>
        <w:rPr>
          <w:rFonts w:eastAsiaTheme="minorEastAsia"/>
          <w:noProof/>
          <w:kern w:val="2"/>
          <w:sz w:val="24"/>
          <w:szCs w:val="24"/>
          <w:lang w:eastAsia="en-NZ"/>
          <w14:ligatures w14:val="standardContextual"/>
        </w:rPr>
      </w:pPr>
      <w:hyperlink w:anchor="_Toc221724898" w:history="1">
        <w:r w:rsidRPr="00B13754">
          <w:rPr>
            <w:rStyle w:val="Hyperlink"/>
            <w:b/>
            <w:bCs/>
            <w:noProof/>
          </w:rPr>
          <w:t>Planning Bill</w:t>
        </w:r>
        <w:r>
          <w:rPr>
            <w:noProof/>
            <w:webHidden/>
          </w:rPr>
          <w:tab/>
        </w:r>
        <w:r>
          <w:rPr>
            <w:noProof/>
            <w:webHidden/>
          </w:rPr>
          <w:fldChar w:fldCharType="begin"/>
        </w:r>
        <w:r>
          <w:rPr>
            <w:noProof/>
            <w:webHidden/>
          </w:rPr>
          <w:instrText xml:space="preserve"> PAGEREF _Toc221724898 \h </w:instrText>
        </w:r>
        <w:r>
          <w:rPr>
            <w:noProof/>
            <w:webHidden/>
          </w:rPr>
        </w:r>
        <w:r>
          <w:rPr>
            <w:noProof/>
            <w:webHidden/>
          </w:rPr>
          <w:fldChar w:fldCharType="separate"/>
        </w:r>
        <w:r>
          <w:rPr>
            <w:noProof/>
            <w:webHidden/>
          </w:rPr>
          <w:t>10</w:t>
        </w:r>
        <w:r>
          <w:rPr>
            <w:noProof/>
            <w:webHidden/>
          </w:rPr>
          <w:fldChar w:fldCharType="end"/>
        </w:r>
      </w:hyperlink>
    </w:p>
    <w:p w14:paraId="7941767C" w14:textId="23F6F1AE" w:rsidR="00AD023B" w:rsidRDefault="00AD023B">
      <w:pPr>
        <w:pStyle w:val="TOC1"/>
        <w:rPr>
          <w:rFonts w:eastAsiaTheme="minorEastAsia"/>
          <w:noProof/>
          <w:kern w:val="2"/>
          <w:sz w:val="24"/>
          <w:szCs w:val="24"/>
          <w:lang w:eastAsia="en-NZ"/>
          <w14:ligatures w14:val="standardContextual"/>
        </w:rPr>
      </w:pPr>
      <w:hyperlink w:anchor="_Toc221724899" w:history="1">
        <w:r w:rsidRPr="00B13754">
          <w:rPr>
            <w:rStyle w:val="Hyperlink"/>
            <w:b/>
            <w:bCs/>
            <w:noProof/>
          </w:rPr>
          <w:t>Natural Environment Bill</w:t>
        </w:r>
        <w:r>
          <w:rPr>
            <w:noProof/>
            <w:webHidden/>
          </w:rPr>
          <w:tab/>
        </w:r>
        <w:r>
          <w:rPr>
            <w:noProof/>
            <w:webHidden/>
          </w:rPr>
          <w:fldChar w:fldCharType="begin"/>
        </w:r>
        <w:r>
          <w:rPr>
            <w:noProof/>
            <w:webHidden/>
          </w:rPr>
          <w:instrText xml:space="preserve"> PAGEREF _Toc221724899 \h </w:instrText>
        </w:r>
        <w:r>
          <w:rPr>
            <w:noProof/>
            <w:webHidden/>
          </w:rPr>
        </w:r>
        <w:r>
          <w:rPr>
            <w:noProof/>
            <w:webHidden/>
          </w:rPr>
          <w:fldChar w:fldCharType="separate"/>
        </w:r>
        <w:r>
          <w:rPr>
            <w:noProof/>
            <w:webHidden/>
          </w:rPr>
          <w:t>15</w:t>
        </w:r>
        <w:r>
          <w:rPr>
            <w:noProof/>
            <w:webHidden/>
          </w:rPr>
          <w:fldChar w:fldCharType="end"/>
        </w:r>
      </w:hyperlink>
    </w:p>
    <w:p w14:paraId="6D38C4D3" w14:textId="5F6B798B" w:rsidR="00F63BE7" w:rsidRDefault="00CC15A7" w:rsidP="00C641B7">
      <w:r>
        <w:fldChar w:fldCharType="end"/>
      </w:r>
    </w:p>
    <w:p w14:paraId="35E3C84A" w14:textId="3467F101" w:rsidR="00F63BE7" w:rsidRDefault="00CC15A7" w:rsidP="00004AF6">
      <w:pPr>
        <w:pStyle w:val="Heading1"/>
        <w:numPr>
          <w:ilvl w:val="0"/>
          <w:numId w:val="0"/>
        </w:numPr>
        <w:ind w:left="567" w:hanging="567"/>
        <w:rPr>
          <w:b/>
          <w:bCs/>
        </w:rPr>
      </w:pPr>
      <w:r>
        <w:br w:type="page"/>
      </w:r>
      <w:bookmarkStart w:id="0" w:name="_Toc215465964"/>
      <w:bookmarkStart w:id="1" w:name="_Toc221724894"/>
      <w:r w:rsidR="00004AF6" w:rsidRPr="00004AF6">
        <w:rPr>
          <w:b/>
          <w:bCs/>
        </w:rPr>
        <w:lastRenderedPageBreak/>
        <w:t>Introduction</w:t>
      </w:r>
      <w:bookmarkEnd w:id="0"/>
      <w:bookmarkEnd w:id="1"/>
    </w:p>
    <w:p w14:paraId="45E2FF78" w14:textId="77777777" w:rsidR="00004AF6" w:rsidRDefault="00004AF6" w:rsidP="00004AF6"/>
    <w:p w14:paraId="16C5560B" w14:textId="4E6AFF60" w:rsidR="00004AF6" w:rsidRDefault="00CC15A7" w:rsidP="00961601">
      <w:pPr>
        <w:pStyle w:val="NumStyle2Lev2"/>
      </w:pPr>
      <w:r>
        <w:t xml:space="preserve">This is a submission </w:t>
      </w:r>
      <w:r w:rsidR="7324044E">
        <w:t xml:space="preserve">from Vector Limited </w:t>
      </w:r>
      <w:r>
        <w:t>on the Planning Bill 2025</w:t>
      </w:r>
      <w:r w:rsidR="00215788">
        <w:t xml:space="preserve"> and Natural Environment Bill 2025</w:t>
      </w:r>
      <w:r w:rsidR="1F7C1BFF">
        <w:t xml:space="preserve"> (</w:t>
      </w:r>
      <w:r w:rsidR="003A19D4">
        <w:t xml:space="preserve">together, </w:t>
      </w:r>
      <w:r w:rsidR="1F7C1BFF">
        <w:t>“</w:t>
      </w:r>
      <w:r w:rsidR="1F7C1BFF" w:rsidRPr="4218F192">
        <w:rPr>
          <w:b/>
          <w:bCs/>
        </w:rPr>
        <w:t>the Bills</w:t>
      </w:r>
      <w:r w:rsidR="1F7C1BFF">
        <w:t>”)</w:t>
      </w:r>
      <w:r w:rsidR="00215788">
        <w:t xml:space="preserve">. </w:t>
      </w:r>
    </w:p>
    <w:p w14:paraId="18F13837" w14:textId="7E20D88F" w:rsidR="00AD7FC1" w:rsidRDefault="00CC2F5C" w:rsidP="004029BC">
      <w:pPr>
        <w:pStyle w:val="NumStyle2Lev2"/>
      </w:pPr>
      <w:r>
        <w:t xml:space="preserve">Electricity distribution is essential to almost every home and business in the country. </w:t>
      </w:r>
      <w:r w:rsidR="004E3032">
        <w:t>Vector supports the Government’s intent to replace the Resource Management Act 1991 (“</w:t>
      </w:r>
      <w:r w:rsidR="004E3032" w:rsidRPr="00CC2F5C">
        <w:rPr>
          <w:b/>
          <w:bCs/>
        </w:rPr>
        <w:t>RMA</w:t>
      </w:r>
      <w:r w:rsidR="004E3032">
        <w:t xml:space="preserve">”) with a faster, clearer, more consistent planning system. </w:t>
      </w:r>
    </w:p>
    <w:p w14:paraId="49BB2499" w14:textId="77777777" w:rsidR="00AD7FC1" w:rsidRDefault="00AD7FC1" w:rsidP="00AD7FC1">
      <w:pPr>
        <w:pStyle w:val="NumStyle2Lev2"/>
      </w:pPr>
      <w:r>
        <w:t>T</w:t>
      </w:r>
      <w:r w:rsidR="004E3032">
        <w:t xml:space="preserve">he new system will strongly influence how New Zealanders are able to build houses, </w:t>
      </w:r>
      <w:r w:rsidR="00660183">
        <w:t xml:space="preserve">grow the economy, and electrify </w:t>
      </w:r>
      <w:r w:rsidR="00DC2BB6">
        <w:t xml:space="preserve">safely and at the least cost. </w:t>
      </w:r>
      <w:r>
        <w:t xml:space="preserve">The body of this submission addresses priority matters that we consider essential to support a well-functioning electricity system in New Zealand. </w:t>
      </w:r>
    </w:p>
    <w:p w14:paraId="1D53F1B1" w14:textId="77777777" w:rsidR="002771B7" w:rsidRDefault="009E2C8E" w:rsidP="004029BC">
      <w:pPr>
        <w:pStyle w:val="NumStyle2Lev2"/>
      </w:pPr>
      <w:r>
        <w:t xml:space="preserve">Vector’s network is extensive </w:t>
      </w:r>
      <w:r w:rsidR="00D14725">
        <w:t xml:space="preserve">by nature – overhead lines and underground cables run through </w:t>
      </w:r>
      <w:r w:rsidR="002F43FE">
        <w:t xml:space="preserve">streets, suburbs, rural areas and sensitive environments. Because of this, electricity networks are uniquely exposed to the planning system. </w:t>
      </w:r>
    </w:p>
    <w:p w14:paraId="309752D9" w14:textId="4CE50BF0" w:rsidR="00262F5B" w:rsidRDefault="002F43FE" w:rsidP="002771B7">
      <w:pPr>
        <w:pStyle w:val="NumStyle2Lev2"/>
      </w:pPr>
      <w:r>
        <w:t xml:space="preserve">We need rules that enable routine works, prevent unsafe development too close to live assets, and resolve conflicts between different national directions before they become costly disputes at </w:t>
      </w:r>
      <w:r w:rsidR="000903AE">
        <w:t xml:space="preserve">a </w:t>
      </w:r>
      <w:r>
        <w:t xml:space="preserve">local level. </w:t>
      </w:r>
      <w:r w:rsidR="00575F51">
        <w:t>Our recommendations are aimed at three outcomes:</w:t>
      </w:r>
    </w:p>
    <w:p w14:paraId="520E450F" w14:textId="461EFF31" w:rsidR="00575F51" w:rsidRDefault="00575F51" w:rsidP="00575F51">
      <w:pPr>
        <w:pStyle w:val="NumStyle2Lev4"/>
      </w:pPr>
      <w:r>
        <w:t>Safety: preventing incompatible development near live electricity assets and supporting compliance with mandatory safe-distance rules</w:t>
      </w:r>
    </w:p>
    <w:p w14:paraId="155B02C2" w14:textId="35C09FD9" w:rsidR="00575F51" w:rsidRDefault="00575F51" w:rsidP="00575F51">
      <w:pPr>
        <w:pStyle w:val="NumStyle2Lev4"/>
      </w:pPr>
      <w:r>
        <w:t>Certainty: ensuring routine maintenance and upgrades can proceed quickly, consistently, and at least cost</w:t>
      </w:r>
    </w:p>
    <w:p w14:paraId="39AD9CC9" w14:textId="5C829169" w:rsidR="00575F51" w:rsidRDefault="00575F51" w:rsidP="00575F51">
      <w:pPr>
        <w:pStyle w:val="NumStyle2Lev4"/>
      </w:pPr>
      <w:r>
        <w:t xml:space="preserve">System coherence: resolve conflicts and unintended consequences early, at the national direction stage, so problems are not pushed down to local government to resolve. </w:t>
      </w:r>
    </w:p>
    <w:p w14:paraId="36226EF4" w14:textId="723C524F" w:rsidR="00575F51" w:rsidRDefault="00575F51" w:rsidP="00575F51">
      <w:pPr>
        <w:pStyle w:val="NumStyle2Lev2"/>
      </w:pPr>
      <w:r>
        <w:t xml:space="preserve">We consider these changes are aligned with the stated intent of the Bills and will deliver a planning system that enables growth and decarbonisation while protecting the natural environment. </w:t>
      </w:r>
    </w:p>
    <w:p w14:paraId="373A2FE6" w14:textId="5A35F750" w:rsidR="00215788" w:rsidRDefault="00CC15A7" w:rsidP="00215788">
      <w:pPr>
        <w:pStyle w:val="NumStyle2Lev2"/>
      </w:pPr>
      <w:r>
        <w:t xml:space="preserve">We wish to </w:t>
      </w:r>
      <w:r w:rsidR="001C618A">
        <w:t xml:space="preserve">have the opportunity to </w:t>
      </w:r>
      <w:r>
        <w:t>be heard in support of our submission.</w:t>
      </w:r>
    </w:p>
    <w:p w14:paraId="2CB2F681" w14:textId="77777777" w:rsidR="00ED190A" w:rsidRDefault="00ED190A" w:rsidP="00ED190A">
      <w:pPr>
        <w:rPr>
          <w:rFonts w:ascii="Arial" w:eastAsia="Arial" w:hAnsi="Arial" w:cs="Arial"/>
          <w:szCs w:val="21"/>
        </w:rPr>
      </w:pPr>
    </w:p>
    <w:p w14:paraId="28F1A3AF" w14:textId="77777777" w:rsidR="00F92F43" w:rsidRDefault="00F92F43" w:rsidP="00ED190A">
      <w:pPr>
        <w:rPr>
          <w:rFonts w:ascii="Arial" w:eastAsia="Arial" w:hAnsi="Arial" w:cs="Arial"/>
          <w:szCs w:val="21"/>
        </w:rPr>
      </w:pPr>
    </w:p>
    <w:p w14:paraId="68A78907" w14:textId="77777777" w:rsidR="00ED190A" w:rsidRDefault="00ED190A" w:rsidP="00ED190A">
      <w:pPr>
        <w:rPr>
          <w:rFonts w:ascii="Arial" w:eastAsia="Arial" w:hAnsi="Arial" w:cs="Arial"/>
          <w:szCs w:val="21"/>
        </w:rPr>
      </w:pPr>
      <w:r w:rsidRPr="3C239228">
        <w:rPr>
          <w:rFonts w:ascii="Arial" w:eastAsia="Arial" w:hAnsi="Arial" w:cs="Arial"/>
          <w:szCs w:val="21"/>
        </w:rPr>
        <w:t>Aimee Gulliver</w:t>
      </w:r>
    </w:p>
    <w:p w14:paraId="7E40CD65" w14:textId="77777777" w:rsidR="00ED190A" w:rsidRDefault="00ED190A" w:rsidP="00ED190A">
      <w:pPr>
        <w:rPr>
          <w:rFonts w:ascii="Arial" w:eastAsia="Arial" w:hAnsi="Arial" w:cs="Arial"/>
          <w:szCs w:val="21"/>
        </w:rPr>
      </w:pPr>
      <w:r w:rsidRPr="3C239228">
        <w:rPr>
          <w:rFonts w:ascii="Arial" w:eastAsia="Arial" w:hAnsi="Arial" w:cs="Arial"/>
          <w:szCs w:val="21"/>
        </w:rPr>
        <w:t xml:space="preserve">GM Public Policy and Government Relations </w:t>
      </w:r>
    </w:p>
    <w:p w14:paraId="3F719797" w14:textId="77777777" w:rsidR="00ED79DB" w:rsidRDefault="00ED79DB" w:rsidP="00ED79DB">
      <w:pPr>
        <w:pStyle w:val="NumStyle2Lev2"/>
        <w:numPr>
          <w:ilvl w:val="0"/>
          <w:numId w:val="0"/>
        </w:numPr>
        <w:ind w:left="567" w:hanging="567"/>
      </w:pPr>
    </w:p>
    <w:p w14:paraId="5521AFD7" w14:textId="77777777" w:rsidR="00ED79DB" w:rsidRDefault="00ED79DB" w:rsidP="00ED79DB">
      <w:pPr>
        <w:pStyle w:val="NumStyle2Lev2"/>
        <w:numPr>
          <w:ilvl w:val="0"/>
          <w:numId w:val="0"/>
        </w:numPr>
        <w:ind w:left="567" w:hanging="567"/>
      </w:pPr>
    </w:p>
    <w:p w14:paraId="5C397944" w14:textId="77777777" w:rsidR="00ED79DB" w:rsidRDefault="00ED79DB" w:rsidP="00ED79DB">
      <w:pPr>
        <w:pStyle w:val="NumStyle2Lev2"/>
        <w:numPr>
          <w:ilvl w:val="0"/>
          <w:numId w:val="0"/>
        </w:numPr>
        <w:ind w:left="567" w:hanging="567"/>
      </w:pPr>
    </w:p>
    <w:p w14:paraId="53AA7648" w14:textId="77777777" w:rsidR="00ED79DB" w:rsidRDefault="00ED79DB" w:rsidP="00ED79DB">
      <w:pPr>
        <w:pStyle w:val="NumStyle2Lev2"/>
        <w:numPr>
          <w:ilvl w:val="0"/>
          <w:numId w:val="0"/>
        </w:numPr>
        <w:ind w:left="567" w:hanging="567"/>
      </w:pPr>
    </w:p>
    <w:p w14:paraId="5CFD9088" w14:textId="77777777" w:rsidR="00ED79DB" w:rsidRDefault="00ED79DB" w:rsidP="00ED79DB">
      <w:pPr>
        <w:pStyle w:val="NumStyle2Lev2"/>
        <w:numPr>
          <w:ilvl w:val="0"/>
          <w:numId w:val="0"/>
        </w:numPr>
        <w:ind w:left="567" w:hanging="567"/>
      </w:pPr>
    </w:p>
    <w:p w14:paraId="663270CD" w14:textId="760040BE" w:rsidR="00CE2730" w:rsidRDefault="00CC15A7" w:rsidP="0006039F">
      <w:pPr>
        <w:pStyle w:val="Heading1"/>
        <w:numPr>
          <w:ilvl w:val="0"/>
          <w:numId w:val="0"/>
        </w:numPr>
        <w:ind w:left="709" w:hanging="709"/>
        <w:rPr>
          <w:b/>
          <w:bCs/>
        </w:rPr>
      </w:pPr>
      <w:bookmarkStart w:id="2" w:name="_Toc221724895"/>
      <w:r w:rsidRPr="004C0FD1">
        <w:rPr>
          <w:b/>
          <w:bCs/>
        </w:rPr>
        <w:lastRenderedPageBreak/>
        <w:t>About Vector</w:t>
      </w:r>
      <w:bookmarkEnd w:id="2"/>
    </w:p>
    <w:p w14:paraId="337BF44E" w14:textId="26A36A51" w:rsidR="00481794" w:rsidRPr="004C0FD1" w:rsidRDefault="00CC15A7" w:rsidP="004C0FD1">
      <w:pPr>
        <w:pStyle w:val="Heading1"/>
        <w:numPr>
          <w:ilvl w:val="0"/>
          <w:numId w:val="0"/>
        </w:numPr>
        <w:ind w:left="567" w:hanging="567"/>
        <w:rPr>
          <w:b/>
          <w:bCs/>
        </w:rPr>
      </w:pPr>
      <w:r w:rsidRPr="004C0FD1">
        <w:rPr>
          <w:b/>
          <w:bCs/>
        </w:rPr>
        <w:t xml:space="preserve"> </w:t>
      </w:r>
    </w:p>
    <w:p w14:paraId="5D3F313C" w14:textId="7A918387" w:rsidR="002E2E9B" w:rsidRDefault="00CC15A7" w:rsidP="002E2E9B">
      <w:pPr>
        <w:pStyle w:val="NumStyle2Lev2"/>
      </w:pPr>
      <w:r>
        <w:t xml:space="preserve">Vector </w:t>
      </w:r>
      <w:r w:rsidR="08BA6BEF">
        <w:t>L</w:t>
      </w:r>
      <w:r>
        <w:t>imited is New Zealand’s largest electricity distributor</w:t>
      </w:r>
      <w:r w:rsidR="03C1BC76">
        <w:t xml:space="preserve">, supplying </w:t>
      </w:r>
      <w:r>
        <w:t xml:space="preserve">more than </w:t>
      </w:r>
      <w:r w:rsidRPr="00E70205">
        <w:t>6</w:t>
      </w:r>
      <w:r w:rsidR="32E0ACE5">
        <w:t>32</w:t>
      </w:r>
      <w:r w:rsidRPr="00E70205">
        <w:t>,000</w:t>
      </w:r>
      <w:r>
        <w:t xml:space="preserve"> electricity connections between Papakura and Wellsford.</w:t>
      </w:r>
    </w:p>
    <w:p w14:paraId="68023CB1" w14:textId="04A700ED" w:rsidR="00577102" w:rsidRPr="00207AD3" w:rsidRDefault="00CC15A7" w:rsidP="00207AD3">
      <w:pPr>
        <w:pStyle w:val="NumStyle2Lev2"/>
        <w:numPr>
          <w:ilvl w:val="0"/>
          <w:numId w:val="0"/>
        </w:numPr>
        <w:ind w:left="567"/>
        <w:rPr>
          <w:b/>
          <w:bCs/>
        </w:rPr>
      </w:pPr>
      <w:r w:rsidRPr="00207AD3">
        <w:rPr>
          <w:b/>
          <w:bCs/>
        </w:rPr>
        <w:t xml:space="preserve">Image 1 – Vector network area map </w:t>
      </w:r>
    </w:p>
    <w:p w14:paraId="1540DE6C" w14:textId="0AAB6A57" w:rsidR="00207AD3" w:rsidRDefault="00CC15A7" w:rsidP="00F9711C">
      <w:pPr>
        <w:pStyle w:val="NumStyle2Lev2"/>
        <w:numPr>
          <w:ilvl w:val="0"/>
          <w:numId w:val="0"/>
        </w:numPr>
        <w:ind w:left="567"/>
      </w:pPr>
      <w:r>
        <w:rPr>
          <w:noProof/>
        </w:rPr>
        <w:drawing>
          <wp:inline distT="0" distB="0" distL="0" distR="0" wp14:anchorId="0C8B7297" wp14:editId="5CB7B0B1">
            <wp:extent cx="4716102" cy="4839854"/>
            <wp:effectExtent l="0" t="0" r="8890" b="0"/>
            <wp:docPr id="1629396068" name="Picture 2" descr="A map of the is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96068" name="Picture 2" descr="A map of the island&#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733296" cy="4857499"/>
                    </a:xfrm>
                    <a:prstGeom prst="rect">
                      <a:avLst/>
                    </a:prstGeom>
                    <a:noFill/>
                    <a:ln>
                      <a:noFill/>
                    </a:ln>
                  </pic:spPr>
                </pic:pic>
              </a:graphicData>
            </a:graphic>
          </wp:inline>
        </w:drawing>
      </w:r>
    </w:p>
    <w:p w14:paraId="152973A6" w14:textId="78F01C48" w:rsidR="00891B1C" w:rsidRDefault="00CC15A7" w:rsidP="006064A1">
      <w:pPr>
        <w:pStyle w:val="NumStyle2Lev2"/>
      </w:pPr>
      <w:r>
        <w:t>Vector</w:t>
      </w:r>
      <w:r w:rsidR="3994837E">
        <w:t>’s</w:t>
      </w:r>
      <w:r>
        <w:t xml:space="preserve"> network comprises almost 20,000 km of overhead electricity lines and underground cables, more than 1</w:t>
      </w:r>
      <w:r w:rsidR="00440F2D">
        <w:t>17,626</w:t>
      </w:r>
      <w:r>
        <w:t xml:space="preserve"> </w:t>
      </w:r>
      <w:r w:rsidR="009B6385">
        <w:t>poles, 23,044</w:t>
      </w:r>
      <w:r>
        <w:t xml:space="preserve"> transformers and voltage regulators</w:t>
      </w:r>
      <w:r w:rsidR="0BEDBA56">
        <w:t>,</w:t>
      </w:r>
      <w:r>
        <w:t xml:space="preserve"> </w:t>
      </w:r>
      <w:r w:rsidR="000F0AD7">
        <w:t>and 22,612</w:t>
      </w:r>
      <w:r w:rsidR="00FC50EC">
        <w:t xml:space="preserve"> </w:t>
      </w:r>
      <w:r>
        <w:t xml:space="preserve">switches. </w:t>
      </w:r>
    </w:p>
    <w:p w14:paraId="3BF1D943" w14:textId="7C52B42C" w:rsidR="006064A1" w:rsidRDefault="00CC15A7" w:rsidP="006064A1">
      <w:pPr>
        <w:pStyle w:val="NumStyle2Lev2"/>
      </w:pPr>
      <w:r>
        <w:t>Images 2 and 3, below, d</w:t>
      </w:r>
      <w:r w:rsidR="7B4BA847">
        <w:t xml:space="preserve">emonstrate the level of </w:t>
      </w:r>
      <w:r>
        <w:t>high</w:t>
      </w:r>
      <w:r w:rsidR="006632E9">
        <w:t xml:space="preserve">, </w:t>
      </w:r>
      <w:r>
        <w:t xml:space="preserve">medium </w:t>
      </w:r>
      <w:r w:rsidR="006632E9">
        <w:t>and low</w:t>
      </w:r>
      <w:r w:rsidR="007055B7">
        <w:t>-</w:t>
      </w:r>
      <w:r>
        <w:t xml:space="preserve">voltage circuits supplying electricity to </w:t>
      </w:r>
      <w:r w:rsidR="007055B7">
        <w:t>end-users</w:t>
      </w:r>
      <w:r w:rsidR="36B9CD4C">
        <w:t xml:space="preserve"> on our network.</w:t>
      </w:r>
      <w:r w:rsidR="27CCC802">
        <w:t xml:space="preserve"> This</w:t>
      </w:r>
      <w:r>
        <w:t xml:space="preserve"> highlight</w:t>
      </w:r>
      <w:r w:rsidR="3B499BDA">
        <w:t>s</w:t>
      </w:r>
      <w:r>
        <w:t xml:space="preserve"> the closely intertwined relationship between the network and </w:t>
      </w:r>
      <w:r w:rsidR="25F07786">
        <w:t xml:space="preserve">its </w:t>
      </w:r>
      <w:r w:rsidR="00BF0C8E">
        <w:t xml:space="preserve">surrounding environment. </w:t>
      </w:r>
    </w:p>
    <w:p w14:paraId="2547224B" w14:textId="77777777" w:rsidR="005B1F29" w:rsidRDefault="005B1F29" w:rsidP="003D6263">
      <w:pPr>
        <w:pStyle w:val="NumStyle2Lev2"/>
        <w:numPr>
          <w:ilvl w:val="0"/>
          <w:numId w:val="0"/>
        </w:numPr>
        <w:ind w:left="567"/>
        <w:rPr>
          <w:b/>
          <w:bCs/>
        </w:rPr>
      </w:pPr>
    </w:p>
    <w:p w14:paraId="289F1F2C" w14:textId="77777777" w:rsidR="005B1F29" w:rsidRDefault="005B1F29" w:rsidP="003D6263">
      <w:pPr>
        <w:pStyle w:val="NumStyle2Lev2"/>
        <w:numPr>
          <w:ilvl w:val="0"/>
          <w:numId w:val="0"/>
        </w:numPr>
        <w:ind w:left="567"/>
        <w:rPr>
          <w:b/>
          <w:bCs/>
        </w:rPr>
      </w:pPr>
    </w:p>
    <w:p w14:paraId="518A6EB5" w14:textId="77777777" w:rsidR="005B1F29" w:rsidRDefault="005B1F29" w:rsidP="003D6263">
      <w:pPr>
        <w:pStyle w:val="NumStyle2Lev2"/>
        <w:numPr>
          <w:ilvl w:val="0"/>
          <w:numId w:val="0"/>
        </w:numPr>
        <w:ind w:left="567"/>
        <w:rPr>
          <w:b/>
          <w:bCs/>
        </w:rPr>
      </w:pPr>
    </w:p>
    <w:p w14:paraId="31FB7219" w14:textId="77777777" w:rsidR="005B1F29" w:rsidRDefault="005B1F29" w:rsidP="003D6263">
      <w:pPr>
        <w:pStyle w:val="NumStyle2Lev2"/>
        <w:numPr>
          <w:ilvl w:val="0"/>
          <w:numId w:val="0"/>
        </w:numPr>
        <w:ind w:left="567"/>
        <w:rPr>
          <w:b/>
          <w:bCs/>
        </w:rPr>
      </w:pPr>
    </w:p>
    <w:p w14:paraId="44D775FA" w14:textId="46C5EBFF" w:rsidR="007F71E7" w:rsidRPr="003D6263" w:rsidRDefault="00CC15A7" w:rsidP="003D6263">
      <w:pPr>
        <w:pStyle w:val="NumStyle2Lev2"/>
        <w:numPr>
          <w:ilvl w:val="0"/>
          <w:numId w:val="0"/>
        </w:numPr>
        <w:ind w:left="567"/>
        <w:rPr>
          <w:b/>
          <w:bCs/>
        </w:rPr>
      </w:pPr>
      <w:r w:rsidRPr="003D6263">
        <w:rPr>
          <w:b/>
          <w:bCs/>
        </w:rPr>
        <w:lastRenderedPageBreak/>
        <w:t xml:space="preserve">Image 2 - Vector high and medium voltage network  </w:t>
      </w:r>
    </w:p>
    <w:p w14:paraId="3F10C332" w14:textId="011D354D" w:rsidR="007F71E7" w:rsidRDefault="00CC15A7" w:rsidP="003D6263">
      <w:pPr>
        <w:pStyle w:val="NumStyle2Lev2"/>
        <w:numPr>
          <w:ilvl w:val="0"/>
          <w:numId w:val="0"/>
        </w:numPr>
        <w:ind w:left="567"/>
      </w:pPr>
      <w:r>
        <w:rPr>
          <w:noProof/>
        </w:rPr>
        <w:drawing>
          <wp:inline distT="0" distB="0" distL="0" distR="0" wp14:anchorId="0E026C17" wp14:editId="0DF97684">
            <wp:extent cx="4803228" cy="3476616"/>
            <wp:effectExtent l="0" t="0" r="0" b="0"/>
            <wp:docPr id="1012573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73422" name=""/>
                    <pic:cNvPicPr/>
                  </pic:nvPicPr>
                  <pic:blipFill>
                    <a:blip r:embed="rId13"/>
                    <a:srcRect b="7153"/>
                    <a:stretch>
                      <a:fillRect/>
                    </a:stretch>
                  </pic:blipFill>
                  <pic:spPr bwMode="auto">
                    <a:xfrm>
                      <a:off x="0" y="0"/>
                      <a:ext cx="4828951" cy="3495234"/>
                    </a:xfrm>
                    <a:prstGeom prst="rect">
                      <a:avLst/>
                    </a:prstGeom>
                    <a:ln>
                      <a:noFill/>
                    </a:ln>
                    <a:extLst>
                      <a:ext uri="{53640926-AAD7-44D8-BBD7-CCE9431645EC}">
                        <a14:shadowObscured xmlns:a14="http://schemas.microsoft.com/office/drawing/2010/main"/>
                      </a:ext>
                    </a:extLst>
                  </pic:spPr>
                </pic:pic>
              </a:graphicData>
            </a:graphic>
          </wp:inline>
        </w:drawing>
      </w:r>
    </w:p>
    <w:p w14:paraId="47D68F77" w14:textId="77777777" w:rsidR="0076562D" w:rsidRDefault="00CC15A7" w:rsidP="0076562D">
      <w:pPr>
        <w:pStyle w:val="NumStyle2Lev2"/>
        <w:numPr>
          <w:ilvl w:val="0"/>
          <w:numId w:val="0"/>
        </w:numPr>
        <w:ind w:left="567"/>
        <w:rPr>
          <w:b/>
          <w:bCs/>
        </w:rPr>
      </w:pPr>
      <w:r w:rsidRPr="002B41A6">
        <w:rPr>
          <w:b/>
          <w:bCs/>
        </w:rPr>
        <w:t xml:space="preserve">Image 3 – Vector </w:t>
      </w:r>
      <w:r>
        <w:rPr>
          <w:b/>
          <w:bCs/>
        </w:rPr>
        <w:t xml:space="preserve">medium and </w:t>
      </w:r>
      <w:r w:rsidRPr="002B41A6">
        <w:rPr>
          <w:b/>
          <w:bCs/>
        </w:rPr>
        <w:t>low voltage (</w:t>
      </w:r>
      <w:r>
        <w:rPr>
          <w:b/>
          <w:bCs/>
        </w:rPr>
        <w:t xml:space="preserve">last-mile </w:t>
      </w:r>
      <w:r w:rsidRPr="002B41A6">
        <w:rPr>
          <w:b/>
          <w:bCs/>
        </w:rPr>
        <w:t>customer supply) network</w:t>
      </w:r>
    </w:p>
    <w:p w14:paraId="44C13292" w14:textId="5799F19A" w:rsidR="003D6263" w:rsidRDefault="00CC15A7" w:rsidP="0076562D">
      <w:pPr>
        <w:pStyle w:val="NumStyle2Lev2"/>
        <w:numPr>
          <w:ilvl w:val="0"/>
          <w:numId w:val="0"/>
        </w:numPr>
        <w:ind w:left="567"/>
      </w:pPr>
      <w:r>
        <w:rPr>
          <w:noProof/>
        </w:rPr>
        <w:drawing>
          <wp:inline distT="0" distB="0" distL="0" distR="0" wp14:anchorId="3644565C" wp14:editId="76B1C7EF">
            <wp:extent cx="4803140" cy="3618885"/>
            <wp:effectExtent l="0" t="0" r="0" b="635"/>
            <wp:docPr id="1927515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15746" name=""/>
                    <pic:cNvPicPr/>
                  </pic:nvPicPr>
                  <pic:blipFill>
                    <a:blip r:embed="rId14"/>
                    <a:srcRect b="5246"/>
                    <a:stretch>
                      <a:fillRect/>
                    </a:stretch>
                  </pic:blipFill>
                  <pic:spPr bwMode="auto">
                    <a:xfrm>
                      <a:off x="0" y="0"/>
                      <a:ext cx="4833273" cy="3641588"/>
                    </a:xfrm>
                    <a:prstGeom prst="rect">
                      <a:avLst/>
                    </a:prstGeom>
                    <a:ln>
                      <a:noFill/>
                    </a:ln>
                    <a:extLst>
                      <a:ext uri="{53640926-AAD7-44D8-BBD7-CCE9431645EC}">
                        <a14:shadowObscured xmlns:a14="http://schemas.microsoft.com/office/drawing/2010/main"/>
                      </a:ext>
                    </a:extLst>
                  </pic:spPr>
                </pic:pic>
              </a:graphicData>
            </a:graphic>
          </wp:inline>
        </w:drawing>
      </w:r>
    </w:p>
    <w:p w14:paraId="347F7CFE" w14:textId="77777777" w:rsidR="00207AD3" w:rsidRDefault="00207AD3" w:rsidP="00207AD3">
      <w:pPr>
        <w:pStyle w:val="NumStyle2Lev2"/>
        <w:numPr>
          <w:ilvl w:val="0"/>
          <w:numId w:val="0"/>
        </w:numPr>
        <w:ind w:left="567"/>
      </w:pPr>
    </w:p>
    <w:p w14:paraId="33814A62" w14:textId="7795459F" w:rsidR="00520214" w:rsidRDefault="00CC15A7" w:rsidP="00456764">
      <w:pPr>
        <w:pStyle w:val="Heading1"/>
        <w:numPr>
          <w:ilvl w:val="0"/>
          <w:numId w:val="0"/>
        </w:numPr>
        <w:ind w:left="567" w:hanging="567"/>
        <w:rPr>
          <w:b/>
          <w:bCs/>
        </w:rPr>
      </w:pPr>
      <w:bookmarkStart w:id="3" w:name="_Toc221724896"/>
      <w:r>
        <w:rPr>
          <w:b/>
          <w:bCs/>
        </w:rPr>
        <w:lastRenderedPageBreak/>
        <w:t xml:space="preserve">Planning and </w:t>
      </w:r>
      <w:r w:rsidR="0014190F">
        <w:rPr>
          <w:b/>
          <w:bCs/>
        </w:rPr>
        <w:t>e</w:t>
      </w:r>
      <w:r w:rsidR="00CE2730" w:rsidRPr="001C19E3">
        <w:rPr>
          <w:b/>
          <w:bCs/>
        </w:rPr>
        <w:t xml:space="preserve">lectricity </w:t>
      </w:r>
      <w:r w:rsidR="0014190F">
        <w:rPr>
          <w:b/>
          <w:bCs/>
        </w:rPr>
        <w:t>d</w:t>
      </w:r>
      <w:r w:rsidR="00CE2730" w:rsidRPr="001C19E3">
        <w:rPr>
          <w:b/>
          <w:bCs/>
        </w:rPr>
        <w:t>istribution</w:t>
      </w:r>
      <w:r>
        <w:rPr>
          <w:b/>
          <w:bCs/>
        </w:rPr>
        <w:t xml:space="preserve"> networks</w:t>
      </w:r>
      <w:bookmarkEnd w:id="3"/>
    </w:p>
    <w:p w14:paraId="0250862C" w14:textId="77777777" w:rsidR="00456764" w:rsidRPr="00456764" w:rsidRDefault="00456764" w:rsidP="00456764"/>
    <w:p w14:paraId="77F3DCBB" w14:textId="350D8926" w:rsidR="00FB33FD" w:rsidRDefault="00CC15A7" w:rsidP="00961601">
      <w:pPr>
        <w:pStyle w:val="NumStyle2Lev2"/>
      </w:pPr>
      <w:r>
        <w:t>Electricity supply is</w:t>
      </w:r>
      <w:r w:rsidR="00404311">
        <w:t xml:space="preserve"> foundational to most development activities c</w:t>
      </w:r>
      <w:r>
        <w:t xml:space="preserve">urrently regulated by the </w:t>
      </w:r>
      <w:r w:rsidR="00404311" w:rsidRPr="003C368A">
        <w:rPr>
          <w:bCs/>
        </w:rPr>
        <w:t>RMA</w:t>
      </w:r>
      <w:r w:rsidR="003C368A" w:rsidRPr="003C368A">
        <w:rPr>
          <w:bCs/>
        </w:rPr>
        <w:t xml:space="preserve"> </w:t>
      </w:r>
      <w:r w:rsidR="00404311">
        <w:t>a</w:t>
      </w:r>
      <w:r>
        <w:t xml:space="preserve">nd </w:t>
      </w:r>
      <w:r w:rsidR="00404311">
        <w:t xml:space="preserve">its replacement by the </w:t>
      </w:r>
      <w:r>
        <w:t xml:space="preserve">Planning </w:t>
      </w:r>
      <w:r w:rsidR="00404311">
        <w:t>Bill and Natural</w:t>
      </w:r>
      <w:r>
        <w:t xml:space="preserve"> Environment Bill. </w:t>
      </w:r>
      <w:r w:rsidR="00E2003E">
        <w:t>With few</w:t>
      </w:r>
      <w:r>
        <w:t xml:space="preserve"> </w:t>
      </w:r>
      <w:r w:rsidR="00E2003E">
        <w:t>exceptions</w:t>
      </w:r>
      <w:r>
        <w:t>,</w:t>
      </w:r>
      <w:r w:rsidR="00E2003E">
        <w:t xml:space="preserve"> </w:t>
      </w:r>
      <w:r>
        <w:t>a connection to an electricity distribution network is fundamental to most land-use development activities, such as residential and commercial development</w:t>
      </w:r>
      <w:r w:rsidR="00E2003E">
        <w:t xml:space="preserve">. This makes linear </w:t>
      </w:r>
      <w:r w:rsidR="007C395F">
        <w:t>electricity networks uniquely exposed to the planning system</w:t>
      </w:r>
      <w:r w:rsidR="002B05B1">
        <w:t>, which regulat</w:t>
      </w:r>
      <w:r w:rsidR="00861994">
        <w:t>e</w:t>
      </w:r>
      <w:r>
        <w:t>s</w:t>
      </w:r>
      <w:r w:rsidR="002B05B1">
        <w:t xml:space="preserve"> both how networks</w:t>
      </w:r>
      <w:r w:rsidR="00861994">
        <w:t xml:space="preserve"> are constructed, operated and maintained, </w:t>
      </w:r>
      <w:r w:rsidR="002B05B1">
        <w:t xml:space="preserve">and how those environments change around </w:t>
      </w:r>
      <w:r w:rsidR="00404311">
        <w:t>established networks.</w:t>
      </w:r>
    </w:p>
    <w:p w14:paraId="7A4858DE" w14:textId="23BDD0D5" w:rsidR="00B87214" w:rsidRDefault="00CC15A7" w:rsidP="00961601">
      <w:pPr>
        <w:pStyle w:val="NumStyle2Lev2"/>
      </w:pPr>
      <w:r>
        <w:t xml:space="preserve">Electricity networks are also </w:t>
      </w:r>
      <w:r w:rsidR="3FCAA01C">
        <w:t xml:space="preserve">central </w:t>
      </w:r>
      <w:r>
        <w:t>to climate change</w:t>
      </w:r>
      <w:r w:rsidR="1029D4A3">
        <w:t xml:space="preserve"> adaptation and mitigation</w:t>
      </w:r>
      <w:r>
        <w:t xml:space="preserve">, providing the infrastructure </w:t>
      </w:r>
      <w:r w:rsidR="00D4735C">
        <w:t xml:space="preserve">necessary to decarbonise the economy and reduce emissions from heating, cooking, production and </w:t>
      </w:r>
      <w:r w:rsidR="001C08FE">
        <w:t>transport.</w:t>
      </w:r>
      <w:r w:rsidR="00106D35">
        <w:t xml:space="preserve"> </w:t>
      </w:r>
      <w:r w:rsidR="001C08FE">
        <w:t xml:space="preserve"> </w:t>
      </w:r>
    </w:p>
    <w:p w14:paraId="53BEBB43" w14:textId="77777777" w:rsidR="00BC241D" w:rsidRDefault="00CC15A7" w:rsidP="00BC241D">
      <w:pPr>
        <w:pStyle w:val="NumStyle2Lev2"/>
      </w:pPr>
      <w:r>
        <w:t xml:space="preserve">Despite the essential functions provided by </w:t>
      </w:r>
      <w:r w:rsidR="00FD456B">
        <w:t>electricity n</w:t>
      </w:r>
      <w:r>
        <w:t>etworks</w:t>
      </w:r>
      <w:r w:rsidR="0089136B">
        <w:t>,</w:t>
      </w:r>
      <w:r>
        <w:t xml:space="preserve"> the </w:t>
      </w:r>
      <w:r w:rsidR="008F5136">
        <w:t>close-knit relationship between our assets and surrounding activities</w:t>
      </w:r>
      <w:r w:rsidR="001C34BF">
        <w:t>,</w:t>
      </w:r>
      <w:r w:rsidR="00982FC4">
        <w:t xml:space="preserve"> and the anticipated presence of infrastructure assets</w:t>
      </w:r>
      <w:r w:rsidR="004E6B3D">
        <w:t xml:space="preserve"> in all environments</w:t>
      </w:r>
      <w:r w:rsidR="008F5136">
        <w:t xml:space="preserve">, </w:t>
      </w:r>
      <w:r w:rsidR="007638A0">
        <w:t xml:space="preserve">planning policy </w:t>
      </w:r>
      <w:r w:rsidR="007D7FB3">
        <w:t xml:space="preserve">under the RMA </w:t>
      </w:r>
      <w:r w:rsidR="007638A0">
        <w:t xml:space="preserve">has historically overlooked </w:t>
      </w:r>
      <w:r w:rsidR="007D7FB3">
        <w:t>the</w:t>
      </w:r>
      <w:r w:rsidR="0089136B">
        <w:t xml:space="preserve"> </w:t>
      </w:r>
      <w:r w:rsidR="004E6B3D">
        <w:t>fundamental</w:t>
      </w:r>
      <w:r w:rsidR="007055B7">
        <w:t xml:space="preserve"> regulatory conditions needed to safe</w:t>
      </w:r>
      <w:r w:rsidR="00107D52">
        <w:t>l</w:t>
      </w:r>
      <w:r w:rsidR="007055B7">
        <w:t>y and efficient</w:t>
      </w:r>
      <w:r w:rsidR="00107D52">
        <w:t>ly</w:t>
      </w:r>
      <w:r w:rsidR="007055B7">
        <w:t xml:space="preserve"> distribute electricity. This has resulted in:</w:t>
      </w:r>
    </w:p>
    <w:p w14:paraId="6C161E9D" w14:textId="4B1730FA" w:rsidR="008F166B" w:rsidRDefault="00CC15A7" w:rsidP="009E668C">
      <w:pPr>
        <w:pStyle w:val="NumStyle2Lev4"/>
      </w:pPr>
      <w:r>
        <w:t xml:space="preserve">Arbitrary regulatory </w:t>
      </w:r>
      <w:r w:rsidR="00FB3E36">
        <w:t>barriers to building, maintaining and upgrading electricity network assets</w:t>
      </w:r>
      <w:r w:rsidR="0079296E">
        <w:t xml:space="preserve"> required to support </w:t>
      </w:r>
      <w:r w:rsidR="00575816">
        <w:t xml:space="preserve">third-party </w:t>
      </w:r>
      <w:r w:rsidR="0079296E">
        <w:t xml:space="preserve">land-use </w:t>
      </w:r>
      <w:r w:rsidR="00575816">
        <w:t xml:space="preserve">development </w:t>
      </w:r>
      <w:r w:rsidR="0079296E">
        <w:t>activities</w:t>
      </w:r>
      <w:r w:rsidR="00FB3E36">
        <w:t>;</w:t>
      </w:r>
    </w:p>
    <w:p w14:paraId="5441B4DC" w14:textId="1153AD28" w:rsidR="00810FE0" w:rsidRDefault="00CC15A7" w:rsidP="009E668C">
      <w:pPr>
        <w:pStyle w:val="NumStyle2Lev4"/>
      </w:pPr>
      <w:r>
        <w:t xml:space="preserve">Disproportionately complex </w:t>
      </w:r>
      <w:r w:rsidR="00BD314D">
        <w:t xml:space="preserve">and onerous </w:t>
      </w:r>
      <w:r>
        <w:t>regulatory processes</w:t>
      </w:r>
      <w:r w:rsidR="001C34BF">
        <w:t>,</w:t>
      </w:r>
      <w:r w:rsidR="00BD314D">
        <w:t xml:space="preserve"> including</w:t>
      </w:r>
      <w:r>
        <w:t xml:space="preserve"> mandatory </w:t>
      </w:r>
      <w:r w:rsidR="00BD314D">
        <w:t>public notification of</w:t>
      </w:r>
      <w:r>
        <w:t xml:space="preserve"> </w:t>
      </w:r>
      <w:r w:rsidR="00500087">
        <w:t xml:space="preserve">routine </w:t>
      </w:r>
      <w:r>
        <w:t>network upgrades</w:t>
      </w:r>
      <w:r w:rsidR="0079296E">
        <w:t xml:space="preserve">; </w:t>
      </w:r>
      <w:r w:rsidR="00BD314D">
        <w:t xml:space="preserve"> </w:t>
      </w:r>
    </w:p>
    <w:p w14:paraId="6F61DE55" w14:textId="036B94E4" w:rsidR="00FB3E36" w:rsidRDefault="00CC15A7" w:rsidP="009E668C">
      <w:pPr>
        <w:pStyle w:val="NumStyle2Lev4"/>
      </w:pPr>
      <w:r>
        <w:t>Broad exposure to incompatible land-use</w:t>
      </w:r>
      <w:r w:rsidR="00E221F8">
        <w:t xml:space="preserve">s resulting in buildings and structures being constructed dangerously close to </w:t>
      </w:r>
      <w:r w:rsidR="00A7255E">
        <w:t>electricity</w:t>
      </w:r>
      <w:r>
        <w:t xml:space="preserve"> network assets</w:t>
      </w:r>
      <w:r w:rsidR="00E221F8">
        <w:t xml:space="preserve"> in </w:t>
      </w:r>
      <w:r w:rsidR="00777B35">
        <w:t>direct contravention of mandatory safety regulations; and</w:t>
      </w:r>
    </w:p>
    <w:p w14:paraId="0585C761" w14:textId="7B34D66F" w:rsidR="007A243C" w:rsidRDefault="00CC15A7" w:rsidP="009E668C">
      <w:pPr>
        <w:pStyle w:val="NumStyle2Lev4"/>
      </w:pPr>
      <w:r>
        <w:t xml:space="preserve">An </w:t>
      </w:r>
      <w:r w:rsidR="0053207F">
        <w:t>a</w:t>
      </w:r>
      <w:r w:rsidR="000D2FD2">
        <w:t xml:space="preserve">dversarial approach to </w:t>
      </w:r>
      <w:r w:rsidR="0053207F">
        <w:t xml:space="preserve">consenting of </w:t>
      </w:r>
      <w:r w:rsidR="00A052D3">
        <w:t>routine activities due to perceived</w:t>
      </w:r>
      <w:r w:rsidR="00126660">
        <w:t xml:space="preserve"> amenity effects</w:t>
      </w:r>
      <w:r>
        <w:t xml:space="preserve">. </w:t>
      </w:r>
    </w:p>
    <w:p w14:paraId="681F76C0" w14:textId="00BB6108" w:rsidR="007A243C" w:rsidRDefault="00CC15A7" w:rsidP="007A243C">
      <w:pPr>
        <w:pStyle w:val="NumStyle2Lev2"/>
      </w:pPr>
      <w:r>
        <w:t xml:space="preserve">This has resulted in </w:t>
      </w:r>
      <w:r w:rsidR="009020DE">
        <w:t xml:space="preserve">unnecessary delay, uncertainty and cost to </w:t>
      </w:r>
      <w:r w:rsidR="003009FF">
        <w:t>operate</w:t>
      </w:r>
      <w:r w:rsidR="00CA702B">
        <w:t xml:space="preserve"> </w:t>
      </w:r>
      <w:r w:rsidR="00E27BD0">
        <w:t xml:space="preserve">electricity distribution networks </w:t>
      </w:r>
      <w:r w:rsidR="003009FF">
        <w:t>that are ultimately funded by customers through their monthly lines charges</w:t>
      </w:r>
      <w:r w:rsidR="00DD6BEA">
        <w:t xml:space="preserve">. </w:t>
      </w:r>
      <w:r w:rsidR="003009FF">
        <w:t xml:space="preserve"> </w:t>
      </w:r>
    </w:p>
    <w:p w14:paraId="6A1BFA25" w14:textId="674A30AF" w:rsidR="00954E47" w:rsidRDefault="00CC15A7" w:rsidP="00F47CEA">
      <w:pPr>
        <w:pStyle w:val="NumStyle2Lev2"/>
      </w:pPr>
      <w:r>
        <w:t>We support the intent of the Bills to create a planning system that</w:t>
      </w:r>
      <w:r w:rsidR="00C1449B">
        <w:t xml:space="preserve"> results in</w:t>
      </w:r>
      <w:r w:rsidR="00996A76">
        <w:t>:</w:t>
      </w:r>
    </w:p>
    <w:p w14:paraId="7CD40CF1" w14:textId="036AC7E3" w:rsidR="00996A76" w:rsidRDefault="00CC15A7" w:rsidP="009E668C">
      <w:pPr>
        <w:pStyle w:val="NumStyle2Lev4"/>
      </w:pPr>
      <w:r>
        <w:t>greater consistency in planning documents;</w:t>
      </w:r>
    </w:p>
    <w:p w14:paraId="649DA993" w14:textId="77777777" w:rsidR="00BC241D" w:rsidRDefault="00CC15A7" w:rsidP="009E668C">
      <w:pPr>
        <w:pStyle w:val="NumStyle2Lev4"/>
      </w:pPr>
      <w:r>
        <w:t xml:space="preserve">fewer, faster plans; </w:t>
      </w:r>
    </w:p>
    <w:p w14:paraId="492FF84B" w14:textId="633E35AA" w:rsidR="00996A76" w:rsidRDefault="00CC15A7" w:rsidP="009E668C">
      <w:pPr>
        <w:pStyle w:val="NumStyle2Lev4"/>
      </w:pPr>
      <w:r>
        <w:t>fewer consents / permits and more permitted activities;</w:t>
      </w:r>
    </w:p>
    <w:p w14:paraId="3C810908" w14:textId="77777777" w:rsidR="00BC241D" w:rsidRDefault="00CC15A7" w:rsidP="009E668C">
      <w:pPr>
        <w:pStyle w:val="NumStyle2Lev4"/>
      </w:pPr>
      <w:r>
        <w:t>less public notification;</w:t>
      </w:r>
    </w:p>
    <w:p w14:paraId="6D2A859D" w14:textId="7013A3D5" w:rsidR="00996A76" w:rsidRDefault="00CC15A7" w:rsidP="009E668C">
      <w:pPr>
        <w:pStyle w:val="NumStyle2Lev4"/>
      </w:pPr>
      <w:r>
        <w:t>less duplication;</w:t>
      </w:r>
    </w:p>
    <w:p w14:paraId="145FF2D8" w14:textId="77777777" w:rsidR="00BC241D" w:rsidRDefault="00CC15A7" w:rsidP="009E668C">
      <w:pPr>
        <w:pStyle w:val="NumStyle2Lev4"/>
      </w:pPr>
      <w:r>
        <w:t xml:space="preserve">streamlined designation processes; and </w:t>
      </w:r>
    </w:p>
    <w:p w14:paraId="08EF25A4" w14:textId="1162BFAC" w:rsidR="00C1449B" w:rsidRDefault="00CC15A7" w:rsidP="009E668C">
      <w:pPr>
        <w:pStyle w:val="NumStyle2Lev4"/>
      </w:pPr>
      <w:r>
        <w:t xml:space="preserve">faster and cheaper dispute resolution. </w:t>
      </w:r>
    </w:p>
    <w:p w14:paraId="221DB46C" w14:textId="70155A29" w:rsidR="007C67C3" w:rsidRDefault="00CC15A7" w:rsidP="00996A76">
      <w:pPr>
        <w:pStyle w:val="NumStyle2Lev2"/>
      </w:pPr>
      <w:r>
        <w:t xml:space="preserve">As the Bills </w:t>
      </w:r>
      <w:r w:rsidR="007D16A4">
        <w:t xml:space="preserve">establish the framework </w:t>
      </w:r>
      <w:r>
        <w:t>for the new planning system, it is essential that they provide as much clarity as possible in</w:t>
      </w:r>
      <w:r w:rsidR="748FBEAF">
        <w:t xml:space="preserve"> their</w:t>
      </w:r>
      <w:r>
        <w:t xml:space="preserve"> inten</w:t>
      </w:r>
      <w:r w:rsidR="78C37D03">
        <w:t>ded</w:t>
      </w:r>
      <w:r>
        <w:t xml:space="preserve"> outcome</w:t>
      </w:r>
      <w:r w:rsidR="00EE5983">
        <w:t>s</w:t>
      </w:r>
      <w:r w:rsidR="00FB3227">
        <w:t xml:space="preserve"> </w:t>
      </w:r>
      <w:r>
        <w:t>to avoid interpretive issues at the local regulatory level.</w:t>
      </w:r>
    </w:p>
    <w:p w14:paraId="5B1E0DCF" w14:textId="1D26729C" w:rsidR="008B094F" w:rsidRPr="008B094F" w:rsidRDefault="00CC15A7" w:rsidP="00163F7E">
      <w:pPr>
        <w:pStyle w:val="NumStyle2Lev2"/>
        <w:rPr>
          <w:b/>
          <w:bCs/>
        </w:rPr>
      </w:pPr>
      <w:r>
        <w:lastRenderedPageBreak/>
        <w:t>I</w:t>
      </w:r>
      <w:r w:rsidR="007C67C3">
        <w:t xml:space="preserve">t is also essential that infrastructure </w:t>
      </w:r>
      <w:r w:rsidR="00A918B3">
        <w:t xml:space="preserve">with </w:t>
      </w:r>
      <w:r w:rsidR="000E6537">
        <w:t xml:space="preserve">broad public benefit is </w:t>
      </w:r>
      <w:r w:rsidR="00A918B3">
        <w:t>enabled at th</w:t>
      </w:r>
      <w:r w:rsidR="00AE2E24">
        <w:t>e primary legislati</w:t>
      </w:r>
      <w:r w:rsidR="1770CE0F">
        <w:t>on</w:t>
      </w:r>
      <w:r w:rsidR="00AE2E24">
        <w:t xml:space="preserve"> level</w:t>
      </w:r>
      <w:r w:rsidR="00E51618">
        <w:t xml:space="preserve"> so that the benefits of infrastructure are </w:t>
      </w:r>
      <w:r w:rsidR="00ED0709">
        <w:t xml:space="preserve">appropriately </w:t>
      </w:r>
      <w:r w:rsidR="00E51618">
        <w:t xml:space="preserve">realised </w:t>
      </w:r>
      <w:r w:rsidR="00BA4513">
        <w:t xml:space="preserve">at the lower levels of the system </w:t>
      </w:r>
      <w:r w:rsidR="00E51618">
        <w:t>through national direction instruments and local plans.</w:t>
      </w:r>
      <w:r w:rsidR="00190A9F">
        <w:t xml:space="preserve"> While the recently gazetted</w:t>
      </w:r>
      <w:r w:rsidR="00CD43D7">
        <w:t xml:space="preserve"> (amended 2025)</w:t>
      </w:r>
      <w:r w:rsidR="00190A9F">
        <w:t xml:space="preserve"> National Policy Statement</w:t>
      </w:r>
      <w:r w:rsidR="00BA4513">
        <w:t xml:space="preserve"> for E</w:t>
      </w:r>
      <w:r w:rsidR="00326BCB">
        <w:t>lec</w:t>
      </w:r>
      <w:r w:rsidR="00BA4513">
        <w:t>tricity Networks 2008</w:t>
      </w:r>
      <w:r w:rsidR="0073638A">
        <w:t xml:space="preserve"> </w:t>
      </w:r>
      <w:r w:rsidR="0073638A" w:rsidRPr="4218F192">
        <w:rPr>
          <w:b/>
          <w:bCs/>
        </w:rPr>
        <w:t>(</w:t>
      </w:r>
      <w:r w:rsidR="001A72FE" w:rsidRPr="001A72FE">
        <w:t>“</w:t>
      </w:r>
      <w:r w:rsidR="0073638A" w:rsidRPr="4218F192">
        <w:rPr>
          <w:b/>
          <w:bCs/>
        </w:rPr>
        <w:t>NPS-EN</w:t>
      </w:r>
      <w:r w:rsidR="001A72FE" w:rsidRPr="001A72FE">
        <w:t>”</w:t>
      </w:r>
      <w:r w:rsidR="0073638A" w:rsidRPr="4218F192">
        <w:rPr>
          <w:b/>
          <w:bCs/>
        </w:rPr>
        <w:t>)</w:t>
      </w:r>
      <w:r w:rsidR="00326BCB">
        <w:t>,</w:t>
      </w:r>
      <w:r w:rsidR="00CD43D7">
        <w:t xml:space="preserve"> and the pending National Environmental Standards for Electricity Networks</w:t>
      </w:r>
      <w:r w:rsidR="00702466">
        <w:t xml:space="preserve"> </w:t>
      </w:r>
      <w:r w:rsidR="0073638A">
        <w:t>(</w:t>
      </w:r>
      <w:r w:rsidR="001A72FE" w:rsidRPr="001A72FE">
        <w:t>“</w:t>
      </w:r>
      <w:r w:rsidR="0073638A" w:rsidRPr="4218F192">
        <w:rPr>
          <w:b/>
          <w:bCs/>
        </w:rPr>
        <w:t>NES-ENA</w:t>
      </w:r>
      <w:r w:rsidR="001A72FE">
        <w:t>”</w:t>
      </w:r>
      <w:r w:rsidR="0073638A">
        <w:t xml:space="preserve">) </w:t>
      </w:r>
      <w:r w:rsidR="00CD43D7">
        <w:t xml:space="preserve">are a significant step forward, there is still uncertainty </w:t>
      </w:r>
      <w:r w:rsidR="003F10C5">
        <w:t xml:space="preserve">of outcomes </w:t>
      </w:r>
      <w:r>
        <w:t xml:space="preserve">around: </w:t>
      </w:r>
    </w:p>
    <w:p w14:paraId="6AEE2160" w14:textId="7DACC796" w:rsidR="008B094F" w:rsidRPr="008B094F" w:rsidRDefault="00CC15A7" w:rsidP="009E668C">
      <w:pPr>
        <w:pStyle w:val="NumStyle2Lev4"/>
        <w:rPr>
          <w:b/>
          <w:bCs/>
        </w:rPr>
      </w:pPr>
      <w:r>
        <w:t>T</w:t>
      </w:r>
      <w:r w:rsidR="003F10C5">
        <w:t xml:space="preserve">he </w:t>
      </w:r>
      <w:r w:rsidR="00411EF1">
        <w:t xml:space="preserve">sequencing, and </w:t>
      </w:r>
      <w:r>
        <w:t>timeframes for transition to the new planning system;</w:t>
      </w:r>
    </w:p>
    <w:p w14:paraId="1F8DEB1E" w14:textId="77777777" w:rsidR="009831E7" w:rsidRPr="009831E7" w:rsidRDefault="00CC15A7" w:rsidP="009E668C">
      <w:pPr>
        <w:pStyle w:val="NumStyle2Lev4"/>
        <w:rPr>
          <w:b/>
          <w:bCs/>
        </w:rPr>
      </w:pPr>
      <w:r>
        <w:t>T</w:t>
      </w:r>
      <w:r w:rsidR="005A6C80">
        <w:t>he process to create and amend national direction instruments</w:t>
      </w:r>
      <w:r>
        <w:t xml:space="preserve">, including consultation with infrastructure providers affected by consequential regulatory change; and </w:t>
      </w:r>
    </w:p>
    <w:p w14:paraId="07C28229" w14:textId="76891351" w:rsidR="00E3362E" w:rsidRPr="00DA19F9" w:rsidRDefault="00CC15A7" w:rsidP="009E668C">
      <w:pPr>
        <w:pStyle w:val="NumStyle2Lev4"/>
        <w:rPr>
          <w:b/>
          <w:bCs/>
        </w:rPr>
      </w:pPr>
      <w:r>
        <w:t>How</w:t>
      </w:r>
      <w:r w:rsidR="0066307D">
        <w:t xml:space="preserve"> conflicts between competing national direction instruments</w:t>
      </w:r>
      <w:r w:rsidR="00DA19F9">
        <w:t xml:space="preserve"> under separate Acts will be resolved in</w:t>
      </w:r>
      <w:r w:rsidR="00996BE2">
        <w:t xml:space="preserve"> a way that </w:t>
      </w:r>
      <w:r w:rsidR="002747CB">
        <w:t xml:space="preserve">enables and protects the essential functions of electricity networks. </w:t>
      </w:r>
      <w:r w:rsidR="00DA19F9">
        <w:t xml:space="preserve"> </w:t>
      </w:r>
    </w:p>
    <w:p w14:paraId="5F0BFB1D" w14:textId="25D01542" w:rsidR="0028498B" w:rsidRPr="008D7BF7" w:rsidRDefault="00CC15A7" w:rsidP="00163F7E">
      <w:pPr>
        <w:pStyle w:val="NumStyle2Lev2"/>
        <w:rPr>
          <w:b/>
          <w:bCs/>
        </w:rPr>
      </w:pPr>
      <w:r>
        <w:t>Our submission is targeted at amendments and clarifications th</w:t>
      </w:r>
      <w:r w:rsidR="00F5210A">
        <w:t>at we believe will supp</w:t>
      </w:r>
      <w:r w:rsidR="008D7BF7">
        <w:t xml:space="preserve">ort achieving the stated intent of the </w:t>
      </w:r>
      <w:r w:rsidR="28DBE722">
        <w:t>B</w:t>
      </w:r>
      <w:r w:rsidR="008D7BF7">
        <w:t>ills and is structured as follows:</w:t>
      </w:r>
    </w:p>
    <w:p w14:paraId="39C291F1" w14:textId="197C21F8" w:rsidR="008D7BF7" w:rsidRDefault="00CC15A7" w:rsidP="009E668C">
      <w:pPr>
        <w:pStyle w:val="NumStyle2Lev4"/>
      </w:pPr>
      <w:r>
        <w:t>Commentary on the planning system architecture</w:t>
      </w:r>
      <w:r w:rsidR="00D071A2">
        <w:t>;</w:t>
      </w:r>
    </w:p>
    <w:p w14:paraId="2D3D198A" w14:textId="0DE61DF9" w:rsidR="008D7BF7" w:rsidRDefault="00CC15A7" w:rsidP="009E668C">
      <w:pPr>
        <w:pStyle w:val="NumStyle2Lev4"/>
      </w:pPr>
      <w:r>
        <w:t xml:space="preserve">Specific </w:t>
      </w:r>
      <w:r w:rsidR="007077F4">
        <w:t xml:space="preserve">feedback on the Planning Bill; and </w:t>
      </w:r>
    </w:p>
    <w:p w14:paraId="49C12330" w14:textId="2BC02969" w:rsidR="00221900" w:rsidRPr="0028498B" w:rsidRDefault="00CC15A7" w:rsidP="009E668C">
      <w:pPr>
        <w:pStyle w:val="NumStyle2Lev4"/>
      </w:pPr>
      <w:r>
        <w:t xml:space="preserve">Specific feedback on the Natural Environment Bill. </w:t>
      </w:r>
    </w:p>
    <w:p w14:paraId="6F2DFBBB" w14:textId="77777777" w:rsidR="00E3362E" w:rsidRDefault="00E3362E" w:rsidP="00856EDE">
      <w:pPr>
        <w:rPr>
          <w:b/>
          <w:bCs/>
        </w:rPr>
      </w:pPr>
    </w:p>
    <w:p w14:paraId="4CB10F3B" w14:textId="1A47829C" w:rsidR="006C1965" w:rsidRDefault="00CC15A7" w:rsidP="007077F4">
      <w:pPr>
        <w:pStyle w:val="Heading1"/>
        <w:numPr>
          <w:ilvl w:val="0"/>
          <w:numId w:val="0"/>
        </w:numPr>
        <w:ind w:left="567" w:hanging="567"/>
        <w:rPr>
          <w:b/>
          <w:bCs/>
        </w:rPr>
      </w:pPr>
      <w:bookmarkStart w:id="4" w:name="_Toc221724897"/>
      <w:r>
        <w:rPr>
          <w:b/>
          <w:bCs/>
        </w:rPr>
        <w:t>Planning system architecture</w:t>
      </w:r>
      <w:bookmarkEnd w:id="4"/>
      <w:r w:rsidR="007077F4">
        <w:rPr>
          <w:b/>
          <w:bCs/>
        </w:rPr>
        <w:t xml:space="preserve"> </w:t>
      </w:r>
      <w:r>
        <w:rPr>
          <w:b/>
          <w:bCs/>
        </w:rPr>
        <w:t xml:space="preserve"> </w:t>
      </w:r>
    </w:p>
    <w:p w14:paraId="4900527E" w14:textId="77777777" w:rsidR="006C1965" w:rsidRDefault="006C1965" w:rsidP="00856EDE">
      <w:pPr>
        <w:rPr>
          <w:b/>
          <w:bCs/>
        </w:rPr>
      </w:pPr>
    </w:p>
    <w:p w14:paraId="653A025F" w14:textId="78E9A47F" w:rsidR="00DA19F9" w:rsidRPr="00DA19F9" w:rsidRDefault="00CC15A7" w:rsidP="00DA19F9">
      <w:pPr>
        <w:pStyle w:val="NumStyle2Lev2"/>
        <w:numPr>
          <w:ilvl w:val="0"/>
          <w:numId w:val="0"/>
        </w:numPr>
        <w:rPr>
          <w:i/>
          <w:iCs/>
        </w:rPr>
      </w:pPr>
      <w:r w:rsidRPr="00DA19F9">
        <w:rPr>
          <w:i/>
          <w:iCs/>
        </w:rPr>
        <w:t>National Direction</w:t>
      </w:r>
      <w:r w:rsidR="00702280">
        <w:rPr>
          <w:i/>
          <w:iCs/>
        </w:rPr>
        <w:t xml:space="preserve"> </w:t>
      </w:r>
      <w:r w:rsidR="00AC7633">
        <w:rPr>
          <w:i/>
          <w:iCs/>
        </w:rPr>
        <w:t>–</w:t>
      </w:r>
      <w:r w:rsidR="00702280">
        <w:rPr>
          <w:i/>
          <w:iCs/>
        </w:rPr>
        <w:t xml:space="preserve"> </w:t>
      </w:r>
      <w:r w:rsidR="00AC7633">
        <w:rPr>
          <w:i/>
          <w:iCs/>
        </w:rPr>
        <w:t xml:space="preserve">managing conflicts </w:t>
      </w:r>
    </w:p>
    <w:p w14:paraId="598B0603" w14:textId="77777777" w:rsidR="00A1312C" w:rsidRDefault="00CC15A7" w:rsidP="00BA7579">
      <w:pPr>
        <w:pStyle w:val="NumStyle2Lev2"/>
      </w:pPr>
      <w:r>
        <w:t xml:space="preserve">We support the </w:t>
      </w:r>
      <w:r w:rsidR="00D238C1">
        <w:t xml:space="preserve">overall top-down structure of the </w:t>
      </w:r>
      <w:r w:rsidR="005A5248">
        <w:t xml:space="preserve">new </w:t>
      </w:r>
      <w:r w:rsidR="00D238C1">
        <w:t>system that aims to achieve national consistency</w:t>
      </w:r>
      <w:r w:rsidR="005A5248">
        <w:t>,</w:t>
      </w:r>
      <w:r w:rsidR="00D238C1">
        <w:t xml:space="preserve"> with narrower scope</w:t>
      </w:r>
      <w:r w:rsidR="005A5248">
        <w:t xml:space="preserve"> </w:t>
      </w:r>
      <w:r w:rsidR="00E438DA">
        <w:t>for variation and</w:t>
      </w:r>
      <w:r w:rsidR="00333070">
        <w:t xml:space="preserve"> more directive outcomes for matters of national significance.</w:t>
      </w:r>
    </w:p>
    <w:p w14:paraId="1B00351C" w14:textId="526CDAB4" w:rsidR="00A1312C" w:rsidRDefault="00CC15A7" w:rsidP="00A1312C">
      <w:pPr>
        <w:pStyle w:val="NumStyle2Lev2"/>
      </w:pPr>
      <w:r>
        <w:t xml:space="preserve">If </w:t>
      </w:r>
      <w:r w:rsidR="00D071A2">
        <w:t xml:space="preserve">national </w:t>
      </w:r>
      <w:r>
        <w:t xml:space="preserve">direction is not sufficiently directive about how conflicts are managed, there is scope for significant unintended consequences. Due to their expansive linear nature, electricity networks more than any other class of activity interact with environments subject to potentially competing national direction, including indigenous biodiversity and freshwater management. Any lack of clarity in how conflicts between infrastructure and competing national direction are resolved will lead to relitigation of issues and inefficiency at the lower levels of the system. </w:t>
      </w:r>
    </w:p>
    <w:p w14:paraId="5C9D70CF" w14:textId="2C33269C" w:rsidR="004017E6" w:rsidRDefault="00CC15A7" w:rsidP="004A4AF3">
      <w:pPr>
        <w:pStyle w:val="NumStyle2Lev2"/>
      </w:pPr>
      <w:r>
        <w:t xml:space="preserve">For the system to operate efficiently, there must be certainty of outcome for the construction, operation, maintenance and repair of linear networks. We recommend that national direction is provided as a cross-cutting function that comprehensively and unambiguously resolves conflict between instruments. We also recommend that a ‘carve-out’ is provided for the essential infrastructure that underpins the land-use activities regulated by the system. </w:t>
      </w:r>
    </w:p>
    <w:p w14:paraId="1F32A375" w14:textId="799B2BD3" w:rsidR="00BB4E2A" w:rsidRDefault="00CC15A7" w:rsidP="00B606F7">
      <w:pPr>
        <w:pStyle w:val="NumStyle2Lev2"/>
      </w:pPr>
      <w:r>
        <w:t>The separation of national direction between the two Acts</w:t>
      </w:r>
      <w:r w:rsidR="005706FF">
        <w:t xml:space="preserve"> (</w:t>
      </w:r>
      <w:r w:rsidR="005706FF" w:rsidRPr="00A87C4C">
        <w:t xml:space="preserve">shown in image </w:t>
      </w:r>
      <w:r w:rsidR="00A87C4C" w:rsidRPr="00A87C4C">
        <w:t>4</w:t>
      </w:r>
      <w:r w:rsidR="005706FF" w:rsidRPr="00A87C4C">
        <w:t xml:space="preserve"> below</w:t>
      </w:r>
      <w:r w:rsidR="005706FF">
        <w:t>)</w:t>
      </w:r>
      <w:r>
        <w:t xml:space="preserve"> </w:t>
      </w:r>
      <w:r w:rsidR="00A97698">
        <w:t xml:space="preserve">has the potential to increase complexity </w:t>
      </w:r>
      <w:r w:rsidR="003C29CB">
        <w:t>at the lower levels of the</w:t>
      </w:r>
      <w:r w:rsidR="00BA7579">
        <w:t xml:space="preserve"> planning system </w:t>
      </w:r>
      <w:r w:rsidR="005706FF">
        <w:t xml:space="preserve">if conflict is not </w:t>
      </w:r>
      <w:r w:rsidR="00380371">
        <w:t>adequately resolved</w:t>
      </w:r>
      <w:r w:rsidR="00995297">
        <w:t xml:space="preserve"> earlier in the system. </w:t>
      </w:r>
      <w:r w:rsidR="001E4539">
        <w:t xml:space="preserve">While there may be variation at a regional / local level in terms of natural characteristics e.g. </w:t>
      </w:r>
      <w:r w:rsidR="00430F16">
        <w:t xml:space="preserve">distribution of significant natural vegetation, the interaction between electricity networks and </w:t>
      </w:r>
      <w:r w:rsidR="006045C4">
        <w:t xml:space="preserve">indigenous biodiversity is an anticipated </w:t>
      </w:r>
      <w:r w:rsidR="00A35C32">
        <w:t>activity for all electricity networks.</w:t>
      </w:r>
    </w:p>
    <w:p w14:paraId="52A9EEE4" w14:textId="77777777" w:rsidR="00BB4E2A" w:rsidRPr="00267B98" w:rsidRDefault="00CC15A7" w:rsidP="00BB4E2A">
      <w:pPr>
        <w:pStyle w:val="NumStyle2Lev2"/>
        <w:numPr>
          <w:ilvl w:val="0"/>
          <w:numId w:val="0"/>
        </w:numPr>
        <w:ind w:left="567"/>
        <w:rPr>
          <w:b/>
          <w:bCs/>
        </w:rPr>
      </w:pPr>
      <w:r w:rsidRPr="00267B98">
        <w:rPr>
          <w:b/>
          <w:bCs/>
        </w:rPr>
        <w:lastRenderedPageBreak/>
        <w:t xml:space="preserve">Image </w:t>
      </w:r>
      <w:r>
        <w:rPr>
          <w:b/>
          <w:bCs/>
        </w:rPr>
        <w:t>4</w:t>
      </w:r>
      <w:r w:rsidRPr="00267B98">
        <w:rPr>
          <w:b/>
          <w:bCs/>
        </w:rPr>
        <w:t xml:space="preserve"> – New Planning System</w:t>
      </w:r>
      <w:r>
        <w:rPr>
          <w:rStyle w:val="FootnoteReference"/>
          <w:b/>
          <w:bCs/>
        </w:rPr>
        <w:footnoteReference w:id="1"/>
      </w:r>
    </w:p>
    <w:p w14:paraId="743348DF" w14:textId="1E04217D" w:rsidR="00BB4E2A" w:rsidRDefault="00CC15A7" w:rsidP="00BB4E2A">
      <w:pPr>
        <w:pStyle w:val="NumStyle2Lev2"/>
        <w:numPr>
          <w:ilvl w:val="0"/>
          <w:numId w:val="0"/>
        </w:numPr>
        <w:ind w:left="567"/>
      </w:pPr>
      <w:r>
        <w:rPr>
          <w:noProof/>
        </w:rPr>
        <w:drawing>
          <wp:inline distT="0" distB="0" distL="0" distR="0" wp14:anchorId="1D5004BA" wp14:editId="21D21270">
            <wp:extent cx="5398654" cy="3626086"/>
            <wp:effectExtent l="0" t="0" r="0" b="0"/>
            <wp:docPr id="1541478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78736" name=""/>
                    <pic:cNvPicPr/>
                  </pic:nvPicPr>
                  <pic:blipFill>
                    <a:blip r:embed="rId15"/>
                    <a:stretch>
                      <a:fillRect/>
                    </a:stretch>
                  </pic:blipFill>
                  <pic:spPr>
                    <a:xfrm>
                      <a:off x="0" y="0"/>
                      <a:ext cx="5413153" cy="3635825"/>
                    </a:xfrm>
                    <a:prstGeom prst="rect">
                      <a:avLst/>
                    </a:prstGeom>
                  </pic:spPr>
                </pic:pic>
              </a:graphicData>
            </a:graphic>
          </wp:inline>
        </w:drawing>
      </w:r>
    </w:p>
    <w:p w14:paraId="00EB41ED" w14:textId="4D866DDA" w:rsidR="00AC7633" w:rsidRPr="008A63B3" w:rsidRDefault="00CC15A7" w:rsidP="00AC7633">
      <w:pPr>
        <w:pStyle w:val="NumStyle2Lev2"/>
        <w:numPr>
          <w:ilvl w:val="0"/>
          <w:numId w:val="0"/>
        </w:numPr>
        <w:ind w:left="567" w:hanging="567"/>
        <w:rPr>
          <w:i/>
          <w:iCs/>
        </w:rPr>
      </w:pPr>
      <w:r w:rsidRPr="008A63B3">
        <w:rPr>
          <w:i/>
          <w:iCs/>
        </w:rPr>
        <w:t xml:space="preserve">National direction – creation and amendment </w:t>
      </w:r>
    </w:p>
    <w:p w14:paraId="241498E6" w14:textId="19C9D772" w:rsidR="00D7564C" w:rsidRDefault="00CC15A7" w:rsidP="00A35C32">
      <w:pPr>
        <w:pStyle w:val="NumStyle2Lev2"/>
      </w:pPr>
      <w:r>
        <w:t xml:space="preserve">Electricity networks have historically been </w:t>
      </w:r>
      <w:r w:rsidR="00D62EA1">
        <w:t xml:space="preserve">impacted </w:t>
      </w:r>
      <w:r>
        <w:t xml:space="preserve">by </w:t>
      </w:r>
      <w:r w:rsidR="008A63B3">
        <w:t xml:space="preserve">the creation of </w:t>
      </w:r>
      <w:r>
        <w:t>national policy direction in other spheres</w:t>
      </w:r>
      <w:r w:rsidR="00D62EA1">
        <w:t xml:space="preserve">. The </w:t>
      </w:r>
      <w:r>
        <w:t>National Policy Statement on Urban Development,</w:t>
      </w:r>
      <w:r w:rsidR="00D62EA1">
        <w:t xml:space="preserve"> for example, has resulted in local authorities being directed to significantly increase urban density with</w:t>
      </w:r>
      <w:r w:rsidR="00E850F4">
        <w:t xml:space="preserve"> no regard for the safe operating requirements of existing electricity networks. </w:t>
      </w:r>
      <w:r w:rsidR="00221346">
        <w:t xml:space="preserve">In addition to </w:t>
      </w:r>
      <w:r w:rsidR="00E850F4">
        <w:t>increa</w:t>
      </w:r>
      <w:r w:rsidR="00221346">
        <w:t>sing</w:t>
      </w:r>
      <w:r w:rsidR="008870D0">
        <w:t xml:space="preserve"> </w:t>
      </w:r>
      <w:r w:rsidR="007B0D86">
        <w:t xml:space="preserve">operational </w:t>
      </w:r>
      <w:r w:rsidR="00E850F4">
        <w:t xml:space="preserve">complexity, </w:t>
      </w:r>
      <w:r w:rsidR="00221346">
        <w:t>this</w:t>
      </w:r>
      <w:r w:rsidR="00E850F4">
        <w:t xml:space="preserve"> has also </w:t>
      </w:r>
      <w:r w:rsidR="00187DEC">
        <w:t xml:space="preserve">resulted in </w:t>
      </w:r>
      <w:r w:rsidR="00E850F4">
        <w:t xml:space="preserve">direct risk to the public by enabling buildings and </w:t>
      </w:r>
      <w:r>
        <w:t>structures</w:t>
      </w:r>
      <w:r w:rsidR="00E850F4">
        <w:t xml:space="preserve"> to be constructed dangerously close</w:t>
      </w:r>
      <w:r>
        <w:t xml:space="preserve"> to </w:t>
      </w:r>
      <w:r w:rsidR="007B0D86">
        <w:t>overhead lines</w:t>
      </w:r>
      <w:r w:rsidR="009C083E">
        <w:t xml:space="preserve"> in direct contravention of the New Zealand Electrical Code of Practice for Electrical Safe Distances: 2001 </w:t>
      </w:r>
      <w:r w:rsidR="0F25C8EB">
        <w:t>(“</w:t>
      </w:r>
      <w:r w:rsidR="009C083E" w:rsidRPr="00B606F7">
        <w:rPr>
          <w:b/>
        </w:rPr>
        <w:t>ECP 34</w:t>
      </w:r>
      <w:r w:rsidR="5181C288" w:rsidRPr="00B606F7">
        <w:t>”)</w:t>
      </w:r>
      <w:r w:rsidR="008903BE">
        <w:t>.</w:t>
      </w:r>
      <w:r w:rsidR="005F3305">
        <w:t xml:space="preserve"> While we anticipate the new national direction will provide greater </w:t>
      </w:r>
      <w:r w:rsidR="0092178F">
        <w:t xml:space="preserve">enablement and protection for electricity networks, we are still concerned that the process </w:t>
      </w:r>
      <w:r w:rsidR="00E51F35">
        <w:t>does not include necessary consultation with potentially affected infrastructure operators</w:t>
      </w:r>
      <w:r w:rsidR="00B97470">
        <w:t xml:space="preserve"> to avoid both fundamental incompatibilities and</w:t>
      </w:r>
      <w:r w:rsidR="00913F83">
        <w:t xml:space="preserve"> other unintended consequences.</w:t>
      </w:r>
      <w:r w:rsidR="00662B97">
        <w:t xml:space="preserve"> </w:t>
      </w:r>
      <w:r w:rsidR="00913F83">
        <w:t xml:space="preserve"> </w:t>
      </w:r>
      <w:r w:rsidR="00E51F35">
        <w:t xml:space="preserve"> </w:t>
      </w:r>
      <w:r w:rsidR="005F3305">
        <w:t xml:space="preserve"> </w:t>
      </w:r>
      <w:r w:rsidR="008A63B3">
        <w:t xml:space="preserve"> </w:t>
      </w:r>
    </w:p>
    <w:p w14:paraId="1E8FF0EC" w14:textId="199CD794" w:rsidR="00901782" w:rsidRDefault="00CC15A7" w:rsidP="00A35C32">
      <w:pPr>
        <w:pStyle w:val="NumStyle2Lev2"/>
      </w:pPr>
      <w:r>
        <w:t xml:space="preserve">The opportunity for </w:t>
      </w:r>
      <w:r w:rsidR="00642573">
        <w:t xml:space="preserve">pre-consultation </w:t>
      </w:r>
      <w:r>
        <w:t xml:space="preserve">on industry / sector specific national direction must also be </w:t>
      </w:r>
      <w:r w:rsidR="00C54039">
        <w:t xml:space="preserve">provided </w:t>
      </w:r>
      <w:r w:rsidR="00642573">
        <w:t>to ensure that the final drafting avoids unintended consequences</w:t>
      </w:r>
      <w:r>
        <w:t xml:space="preserve">. </w:t>
      </w:r>
      <w:r w:rsidR="00E14236">
        <w:t>Despite the significant progress made through the NPS-EN and pending NES-ENA, there is s</w:t>
      </w:r>
      <w:r w:rsidR="00642573">
        <w:t>till</w:t>
      </w:r>
      <w:r w:rsidR="00E14236">
        <w:t xml:space="preserve"> uncertainty as to the </w:t>
      </w:r>
      <w:r w:rsidR="00642573">
        <w:t>drafting of f</w:t>
      </w:r>
      <w:r w:rsidR="00E14236">
        <w:t>inal</w:t>
      </w:r>
      <w:r w:rsidR="00FA76CB">
        <w:t xml:space="preserve"> provisions of the NES-ENA. Proposed provisions </w:t>
      </w:r>
      <w:r w:rsidR="004D64E3">
        <w:t xml:space="preserve">at the time of consultation included </w:t>
      </w:r>
      <w:r w:rsidR="00E3499C">
        <w:t xml:space="preserve">descriptions of those provisions </w:t>
      </w:r>
      <w:r w:rsidR="00D01C89">
        <w:t>without an opportunity for</w:t>
      </w:r>
      <w:r w:rsidR="00E95E7D">
        <w:t xml:space="preserve"> electricity network operators to review the </w:t>
      </w:r>
      <w:r w:rsidR="0083790A">
        <w:t>drafting</w:t>
      </w:r>
      <w:r w:rsidR="006E0051">
        <w:t xml:space="preserve"> before the </w:t>
      </w:r>
      <w:r w:rsidR="00AF1302">
        <w:t>instruments are gazetted</w:t>
      </w:r>
      <w:r w:rsidR="0083790A">
        <w:t xml:space="preserve">. This </w:t>
      </w:r>
      <w:r w:rsidR="003F3AF8">
        <w:t>creates uncertainty and lack of clarity in scope</w:t>
      </w:r>
      <w:r w:rsidR="00C54039">
        <w:t xml:space="preserve">, which can be difficult to address or amend once gazetted.  </w:t>
      </w:r>
      <w:r w:rsidR="00E95E7D">
        <w:t xml:space="preserve"> </w:t>
      </w:r>
      <w:r w:rsidR="00D01C89">
        <w:t xml:space="preserve"> </w:t>
      </w:r>
    </w:p>
    <w:p w14:paraId="6DA91637" w14:textId="25A019A4" w:rsidR="00FE562C" w:rsidRDefault="00CC15A7" w:rsidP="00A35C32">
      <w:pPr>
        <w:pStyle w:val="NumStyle2Lev2"/>
      </w:pPr>
      <w:r>
        <w:t xml:space="preserve">Similarly, the provisions of </w:t>
      </w:r>
      <w:r w:rsidR="00933C66">
        <w:t xml:space="preserve">other </w:t>
      </w:r>
      <w:r w:rsidR="00C54039">
        <w:t xml:space="preserve">consequential </w:t>
      </w:r>
      <w:r w:rsidR="00FA7B79">
        <w:t xml:space="preserve">national direction such as </w:t>
      </w:r>
      <w:r w:rsidR="00E412D5">
        <w:t>the NES National Environmental Standards for Detached Minor Residential Units 2025</w:t>
      </w:r>
      <w:r w:rsidR="001E2582">
        <w:t xml:space="preserve"> (</w:t>
      </w:r>
      <w:r w:rsidR="37CB07B7">
        <w:t>“</w:t>
      </w:r>
      <w:r w:rsidR="001E2582" w:rsidRPr="009E668C">
        <w:rPr>
          <w:b/>
          <w:bCs/>
        </w:rPr>
        <w:t>NES-DMRU</w:t>
      </w:r>
      <w:r w:rsidR="5B88B886" w:rsidRPr="4218F192">
        <w:rPr>
          <w:b/>
          <w:bCs/>
        </w:rPr>
        <w:t>”</w:t>
      </w:r>
      <w:r w:rsidR="001E2582">
        <w:t>)</w:t>
      </w:r>
      <w:r w:rsidR="00E113ED">
        <w:t xml:space="preserve"> </w:t>
      </w:r>
      <w:r w:rsidR="00662B97">
        <w:t xml:space="preserve">should stipulate </w:t>
      </w:r>
      <w:r w:rsidR="00E113ED">
        <w:t>pre-consultation with infrastructure operators to address unintended consequences</w:t>
      </w:r>
      <w:r w:rsidR="004D7546">
        <w:t xml:space="preserve">. </w:t>
      </w:r>
      <w:r w:rsidR="00EF0D01">
        <w:t>T</w:t>
      </w:r>
      <w:r w:rsidR="004D7546">
        <w:t xml:space="preserve">he </w:t>
      </w:r>
      <w:r w:rsidR="00514F03">
        <w:t xml:space="preserve">electricity transmission and distribution </w:t>
      </w:r>
      <w:r w:rsidR="004D7546">
        <w:t>sector</w:t>
      </w:r>
      <w:r w:rsidR="00514F03">
        <w:t>s</w:t>
      </w:r>
      <w:r w:rsidR="004D7546">
        <w:t xml:space="preserve"> </w:t>
      </w:r>
      <w:r w:rsidR="00535F1C">
        <w:t xml:space="preserve">made </w:t>
      </w:r>
      <w:r w:rsidR="00EF0D01">
        <w:t xml:space="preserve">submissions </w:t>
      </w:r>
      <w:r w:rsidR="00535F1C">
        <w:t>recommend</w:t>
      </w:r>
      <w:r w:rsidR="00EF0D01">
        <w:t xml:space="preserve">ing </w:t>
      </w:r>
      <w:r w:rsidR="00EF0D01">
        <w:lastRenderedPageBreak/>
        <w:t xml:space="preserve">standards to </w:t>
      </w:r>
      <w:r w:rsidR="007C1D96">
        <w:t>requir</w:t>
      </w:r>
      <w:r w:rsidR="00EF0D01">
        <w:t xml:space="preserve">e </w:t>
      </w:r>
      <w:r w:rsidR="007C1D96">
        <w:t>compl</w:t>
      </w:r>
      <w:r w:rsidR="00EF0D01">
        <w:t>iance</w:t>
      </w:r>
      <w:r w:rsidR="007C1D96">
        <w:t xml:space="preserve"> with ECP 34</w:t>
      </w:r>
      <w:r w:rsidR="004B66CC">
        <w:t>. T</w:t>
      </w:r>
      <w:r w:rsidR="004D7546">
        <w:t>he NES-DMRU</w:t>
      </w:r>
      <w:r w:rsidR="00535F1C">
        <w:t xml:space="preserve"> is now in force (15 January 2026) without such </w:t>
      </w:r>
      <w:r w:rsidR="005737CE">
        <w:t xml:space="preserve">essential safeguards. </w:t>
      </w:r>
      <w:r w:rsidR="00185EE2">
        <w:t>The NES-ENA is expected to include provisions to enforce ECP 34</w:t>
      </w:r>
      <w:r w:rsidR="005737CE">
        <w:t xml:space="preserve">, however as noted in the previous paragraph, the timing and drafting of those provisions are still uncertain at the time of this submission. </w:t>
      </w:r>
      <w:r w:rsidR="00EF0D01">
        <w:t xml:space="preserve"> </w:t>
      </w:r>
      <w:r w:rsidR="000C5186">
        <w:t xml:space="preserve"> </w:t>
      </w:r>
      <w:r w:rsidR="00535F1C">
        <w:t xml:space="preserve"> </w:t>
      </w:r>
      <w:r w:rsidR="004D7546">
        <w:t xml:space="preserve">  </w:t>
      </w:r>
    </w:p>
    <w:p w14:paraId="79B3190D" w14:textId="0B2C2464" w:rsidR="008C493A" w:rsidRPr="00F7732E" w:rsidRDefault="00CC15A7" w:rsidP="0009549C">
      <w:pPr>
        <w:pStyle w:val="NumStyle2Lev2"/>
      </w:pPr>
      <w:r>
        <w:t xml:space="preserve">For the above reasons, the creation of new, and amendment of existing natural direction </w:t>
      </w:r>
      <w:r w:rsidR="00994189">
        <w:t>must</w:t>
      </w:r>
      <w:r w:rsidR="00C8659C">
        <w:t xml:space="preserve"> </w:t>
      </w:r>
      <w:r w:rsidR="00994189">
        <w:t xml:space="preserve">specifically provide for </w:t>
      </w:r>
      <w:r w:rsidR="00033F7F">
        <w:t xml:space="preserve">pre-notification of </w:t>
      </w:r>
      <w:r w:rsidR="00AC6E16">
        <w:t xml:space="preserve">core </w:t>
      </w:r>
      <w:r w:rsidR="00994189">
        <w:t>infrastructure</w:t>
      </w:r>
      <w:r w:rsidR="00702280">
        <w:t xml:space="preserve"> </w:t>
      </w:r>
      <w:r w:rsidR="00033F7F">
        <w:t xml:space="preserve">providers. </w:t>
      </w:r>
      <w:r w:rsidR="00621D4F">
        <w:t xml:space="preserve">We </w:t>
      </w:r>
      <w:r w:rsidR="004D64E3">
        <w:t>recommend</w:t>
      </w:r>
      <w:r w:rsidR="00621D4F">
        <w:t xml:space="preserve"> the </w:t>
      </w:r>
      <w:r w:rsidR="00A15520">
        <w:t xml:space="preserve">insertion of a new subclause </w:t>
      </w:r>
      <w:r w:rsidR="00326B7F">
        <w:t xml:space="preserve">(2) </w:t>
      </w:r>
      <w:r w:rsidR="00373E4A">
        <w:t xml:space="preserve">under </w:t>
      </w:r>
      <w:r w:rsidR="000D3CD9">
        <w:t xml:space="preserve">clause </w:t>
      </w:r>
      <w:r w:rsidR="007A539B">
        <w:t xml:space="preserve">46 of the Planning Bill and </w:t>
      </w:r>
      <w:r w:rsidR="000D3CD9">
        <w:t xml:space="preserve">clause </w:t>
      </w:r>
      <w:r w:rsidR="007A539B">
        <w:t>70 of the Natural Environment Bill</w:t>
      </w:r>
      <w:r>
        <w:rPr>
          <w:rStyle w:val="FootnoteReference"/>
        </w:rPr>
        <w:footnoteReference w:id="2"/>
      </w:r>
      <w:r w:rsidR="00621D4F">
        <w:t>:</w:t>
      </w:r>
    </w:p>
    <w:p w14:paraId="7EF86878" w14:textId="7AF7D61C" w:rsidR="004617C1" w:rsidRPr="00356DBE" w:rsidRDefault="00254E71" w:rsidP="00254E71">
      <w:pPr>
        <w:pStyle w:val="NumStyle2Lev2"/>
        <w:numPr>
          <w:ilvl w:val="0"/>
          <w:numId w:val="0"/>
        </w:numPr>
        <w:ind w:left="567" w:hanging="567"/>
        <w:rPr>
          <w:rFonts w:ascii="Times New Roman" w:hAnsi="Times New Roman" w:cs="Times New Roman"/>
          <w:i/>
          <w:iCs/>
          <w:color w:val="FF0000"/>
          <w:sz w:val="24"/>
          <w:szCs w:val="24"/>
          <w:u w:val="single"/>
        </w:rPr>
      </w:pPr>
      <w:r>
        <w:rPr>
          <w:i/>
          <w:iCs/>
          <w:color w:val="FF0000"/>
        </w:rPr>
        <w:tab/>
      </w:r>
      <w:r>
        <w:rPr>
          <w:i/>
          <w:iCs/>
          <w:color w:val="FF0000"/>
        </w:rPr>
        <w:tab/>
      </w:r>
      <w:r>
        <w:rPr>
          <w:i/>
          <w:iCs/>
          <w:color w:val="FF0000"/>
        </w:rPr>
        <w:tab/>
      </w:r>
      <w:r w:rsidR="00CC15A7" w:rsidRPr="00356DBE">
        <w:rPr>
          <w:i/>
          <w:iCs/>
          <w:color w:val="FF0000"/>
          <w:u w:val="single"/>
        </w:rPr>
        <w:t>(2</w:t>
      </w:r>
      <w:r w:rsidR="0087268F" w:rsidRPr="00356DBE">
        <w:rPr>
          <w:i/>
          <w:iCs/>
          <w:color w:val="FF0000"/>
          <w:u w:val="single"/>
        </w:rPr>
        <w:t xml:space="preserve">) </w:t>
      </w:r>
      <w:r w:rsidR="0000158D" w:rsidRPr="00356DBE">
        <w:rPr>
          <w:i/>
          <w:iCs/>
          <w:color w:val="FF0000"/>
          <w:u w:val="single"/>
        </w:rPr>
        <w:t>Before the Minister publicly notifies a national instrument, the Minister must—</w:t>
      </w:r>
    </w:p>
    <w:p w14:paraId="36F13EA0" w14:textId="4D6A6920" w:rsidR="00703E28" w:rsidRPr="00356DBE" w:rsidRDefault="00CC15A7" w:rsidP="00C85425">
      <w:pPr>
        <w:pStyle w:val="NumStyle2Lev4"/>
        <w:numPr>
          <w:ilvl w:val="0"/>
          <w:numId w:val="0"/>
        </w:numPr>
        <w:ind w:left="2214" w:hanging="360"/>
        <w:rPr>
          <w:i/>
          <w:iCs/>
          <w:color w:val="FF0000"/>
          <w:u w:val="single"/>
        </w:rPr>
      </w:pPr>
      <w:r w:rsidRPr="00356DBE">
        <w:rPr>
          <w:i/>
          <w:iCs/>
          <w:color w:val="FF0000"/>
          <w:u w:val="single"/>
        </w:rPr>
        <w:t xml:space="preserve">(a) Provide </w:t>
      </w:r>
      <w:r w:rsidR="00A43ED6" w:rsidRPr="00326B7F">
        <w:rPr>
          <w:i/>
          <w:iCs/>
          <w:color w:val="FF0000"/>
          <w:u w:val="single"/>
        </w:rPr>
        <w:t xml:space="preserve">core </w:t>
      </w:r>
      <w:r w:rsidRPr="00326B7F">
        <w:rPr>
          <w:i/>
          <w:iCs/>
          <w:color w:val="FF0000"/>
          <w:u w:val="single"/>
        </w:rPr>
        <w:t xml:space="preserve">infrastructure </w:t>
      </w:r>
      <w:r w:rsidR="006772A9" w:rsidRPr="00326B7F">
        <w:rPr>
          <w:i/>
          <w:iCs/>
          <w:color w:val="FF0000"/>
          <w:u w:val="single"/>
        </w:rPr>
        <w:t>operators</w:t>
      </w:r>
      <w:r w:rsidR="00A43ED6" w:rsidRPr="00326B7F">
        <w:rPr>
          <w:i/>
          <w:iCs/>
          <w:color w:val="FF0000"/>
          <w:u w:val="single"/>
        </w:rPr>
        <w:t xml:space="preserve"> as described in Schedule 5 </w:t>
      </w:r>
      <w:r w:rsidR="006772A9" w:rsidRPr="00326B7F">
        <w:rPr>
          <w:i/>
          <w:iCs/>
          <w:color w:val="FF0000"/>
          <w:u w:val="single"/>
        </w:rPr>
        <w:t xml:space="preserve">of the Planning Act </w:t>
      </w:r>
      <w:r w:rsidRPr="00356DBE">
        <w:rPr>
          <w:i/>
          <w:iCs/>
          <w:color w:val="FF0000"/>
          <w:u w:val="single"/>
        </w:rPr>
        <w:t xml:space="preserve">with a draft of the proposed national instrument or a summary of it; and </w:t>
      </w:r>
    </w:p>
    <w:p w14:paraId="5FFC5F95" w14:textId="50B84352" w:rsidR="00703E28" w:rsidRPr="00356DBE" w:rsidRDefault="00CC15A7" w:rsidP="00C85425">
      <w:pPr>
        <w:pStyle w:val="NumStyle2Lev4"/>
        <w:numPr>
          <w:ilvl w:val="0"/>
          <w:numId w:val="0"/>
        </w:numPr>
        <w:ind w:left="2214" w:hanging="360"/>
        <w:rPr>
          <w:i/>
          <w:iCs/>
          <w:color w:val="FF0000"/>
          <w:u w:val="single"/>
        </w:rPr>
      </w:pPr>
      <w:r w:rsidRPr="00356DBE">
        <w:rPr>
          <w:i/>
          <w:iCs/>
          <w:color w:val="FF0000"/>
          <w:u w:val="single"/>
        </w:rPr>
        <w:t xml:space="preserve">(b) Give </w:t>
      </w:r>
      <w:r w:rsidR="006772A9" w:rsidRPr="00356DBE">
        <w:rPr>
          <w:i/>
          <w:iCs/>
          <w:color w:val="FF0000"/>
          <w:u w:val="single"/>
        </w:rPr>
        <w:t xml:space="preserve">core infrastructure operators </w:t>
      </w:r>
      <w:r w:rsidRPr="00356DBE">
        <w:rPr>
          <w:i/>
          <w:iCs/>
          <w:color w:val="FF0000"/>
          <w:u w:val="single"/>
        </w:rPr>
        <w:t xml:space="preserve">what the Minister considers to be adequate time and opportunity to consider the document and provide advice on it; and </w:t>
      </w:r>
    </w:p>
    <w:p w14:paraId="1853806E" w14:textId="29A2A074" w:rsidR="00E36A64" w:rsidRPr="00CB0EEA" w:rsidRDefault="00CC15A7" w:rsidP="00C85425">
      <w:pPr>
        <w:pStyle w:val="NumStyle2Lev4"/>
        <w:numPr>
          <w:ilvl w:val="0"/>
          <w:numId w:val="0"/>
        </w:numPr>
        <w:ind w:left="2214" w:hanging="360"/>
        <w:rPr>
          <w:i/>
          <w:iCs/>
          <w:color w:val="FF0000"/>
          <w:u w:val="single"/>
        </w:rPr>
      </w:pPr>
      <w:r w:rsidRPr="00356DBE">
        <w:rPr>
          <w:i/>
          <w:iCs/>
          <w:color w:val="FF0000"/>
          <w:u w:val="single"/>
        </w:rPr>
        <w:t xml:space="preserve">(c) Have regard to any advice received </w:t>
      </w:r>
      <w:r w:rsidR="00396E4D" w:rsidRPr="00356DBE">
        <w:rPr>
          <w:i/>
          <w:iCs/>
          <w:color w:val="FF0000"/>
          <w:u w:val="single"/>
        </w:rPr>
        <w:t xml:space="preserve">core </w:t>
      </w:r>
      <w:r w:rsidRPr="00326B7F">
        <w:rPr>
          <w:i/>
          <w:iCs/>
          <w:color w:val="FF0000"/>
          <w:u w:val="single"/>
        </w:rPr>
        <w:t xml:space="preserve">infrastructure </w:t>
      </w:r>
      <w:r w:rsidR="00396E4D" w:rsidRPr="00326B7F">
        <w:rPr>
          <w:i/>
          <w:iCs/>
          <w:color w:val="FF0000"/>
          <w:u w:val="single"/>
        </w:rPr>
        <w:t>operators</w:t>
      </w:r>
      <w:r w:rsidR="00396E4D" w:rsidRPr="00356DBE">
        <w:rPr>
          <w:i/>
          <w:iCs/>
          <w:color w:val="FF0000"/>
          <w:u w:val="single"/>
        </w:rPr>
        <w:t xml:space="preserve"> </w:t>
      </w:r>
      <w:r w:rsidRPr="00356DBE">
        <w:rPr>
          <w:i/>
          <w:iCs/>
          <w:color w:val="FF0000"/>
          <w:u w:val="single"/>
        </w:rPr>
        <w:t>on the document.</w:t>
      </w:r>
    </w:p>
    <w:p w14:paraId="3254C09F" w14:textId="134D14DF" w:rsidR="00CB0EEA" w:rsidRDefault="00CC15A7" w:rsidP="006A5631">
      <w:pPr>
        <w:pStyle w:val="NumStyle2Lev2"/>
      </w:pPr>
      <w:r w:rsidRPr="00CB0EEA">
        <w:t xml:space="preserve">Pre-notification </w:t>
      </w:r>
      <w:r>
        <w:t>c</w:t>
      </w:r>
      <w:r w:rsidRPr="00CB0EEA">
        <w:t xml:space="preserve">onsultation with core infrastructure providers </w:t>
      </w:r>
      <w:r>
        <w:t xml:space="preserve">described in subclause (2) </w:t>
      </w:r>
      <w:r w:rsidRPr="00CB0EEA">
        <w:t xml:space="preserve">could be carried out via existing </w:t>
      </w:r>
      <w:r w:rsidR="000C2DC3">
        <w:t xml:space="preserve">representative </w:t>
      </w:r>
      <w:r w:rsidRPr="00CB0EEA">
        <w:t>stakeholder groups</w:t>
      </w:r>
      <w:r w:rsidR="000C2DC3">
        <w:t>,</w:t>
      </w:r>
      <w:r w:rsidRPr="00CB0EEA">
        <w:t xml:space="preserve"> such as the Infrastructure Providers Grou</w:t>
      </w:r>
      <w:r w:rsidR="00E92888">
        <w:t xml:space="preserve">p. </w:t>
      </w:r>
      <w:r w:rsidR="00EE51F5">
        <w:t>This would ensure that any significant unintended consequences</w:t>
      </w:r>
      <w:r w:rsidR="00DC0A2A">
        <w:t xml:space="preserve"> or drafting issues </w:t>
      </w:r>
      <w:r w:rsidR="00A32F23">
        <w:t>can be identified and</w:t>
      </w:r>
      <w:r w:rsidR="00DC0A2A">
        <w:t xml:space="preserve"> addressed pre-notification. </w:t>
      </w:r>
      <w:r w:rsidR="00A32F23">
        <w:t xml:space="preserve"> </w:t>
      </w:r>
    </w:p>
    <w:p w14:paraId="1912BB32" w14:textId="77777777" w:rsidR="00541D41" w:rsidRDefault="00CC15A7" w:rsidP="006A5631">
      <w:pPr>
        <w:pStyle w:val="NumStyle2Lev2"/>
      </w:pPr>
      <w:r>
        <w:t xml:space="preserve">We support the simplified process to efficiently amend national standards to address any errors.  We consider that this should be expanded so the process also applies to national policy direction. </w:t>
      </w:r>
    </w:p>
    <w:p w14:paraId="11941EF8" w14:textId="7DFE1FB1" w:rsidR="006A5631" w:rsidRDefault="00CC15A7" w:rsidP="006A5631">
      <w:pPr>
        <w:pStyle w:val="NumStyle2Lev2"/>
      </w:pPr>
      <w:r>
        <w:t>The cross-references in this provision are</w:t>
      </w:r>
      <w:r w:rsidR="005F75AF">
        <w:t xml:space="preserve"> also</w:t>
      </w:r>
      <w:r>
        <w:t xml:space="preserve"> incorrect and </w:t>
      </w:r>
      <w:r w:rsidR="005F75AF">
        <w:t xml:space="preserve">require </w:t>
      </w:r>
      <w:r>
        <w:t>amend</w:t>
      </w:r>
      <w:r w:rsidR="005F75AF">
        <w:t>ment</w:t>
      </w:r>
      <w:r>
        <w:t xml:space="preserve">.  We recommend the following amendments to </w:t>
      </w:r>
      <w:r w:rsidR="007319E4">
        <w:t xml:space="preserve">clause </w:t>
      </w:r>
      <w:r>
        <w:t>6</w:t>
      </w:r>
      <w:r w:rsidR="00D2243C">
        <w:t>2(1) of the P</w:t>
      </w:r>
      <w:r>
        <w:t xml:space="preserve">lanning </w:t>
      </w:r>
      <w:r w:rsidR="00D2243C">
        <w:t>B</w:t>
      </w:r>
      <w:r>
        <w:t xml:space="preserve">ill:  </w:t>
      </w:r>
    </w:p>
    <w:p w14:paraId="796C84C5" w14:textId="77777777" w:rsidR="007E00D1" w:rsidRPr="007E00D1" w:rsidRDefault="00CC15A7" w:rsidP="007E00D1">
      <w:pPr>
        <w:pStyle w:val="NumStyle2Lev3"/>
        <w:numPr>
          <w:ilvl w:val="0"/>
          <w:numId w:val="0"/>
        </w:numPr>
        <w:ind w:left="1134"/>
        <w:rPr>
          <w:i/>
          <w:iCs/>
        </w:rPr>
      </w:pPr>
      <w:r w:rsidRPr="007E00D1">
        <w:rPr>
          <w:i/>
          <w:iCs/>
        </w:rPr>
        <w:t xml:space="preserve">(1) The Minister may amend a national standard </w:t>
      </w:r>
      <w:r w:rsidRPr="007E00D1">
        <w:rPr>
          <w:i/>
          <w:iCs/>
          <w:color w:val="FF0000"/>
          <w:u w:val="single"/>
        </w:rPr>
        <w:t>or national policy direction</w:t>
      </w:r>
      <w:r w:rsidRPr="007E00D1">
        <w:rPr>
          <w:i/>
          <w:iCs/>
        </w:rPr>
        <w:t xml:space="preserve"> without complying with </w:t>
      </w:r>
      <w:r w:rsidRPr="007E00D1">
        <w:rPr>
          <w:b/>
          <w:bCs/>
          <w:i/>
          <w:iCs/>
        </w:rPr>
        <w:t xml:space="preserve">section </w:t>
      </w:r>
      <w:r w:rsidRPr="007E00D1">
        <w:rPr>
          <w:b/>
          <w:bCs/>
          <w:i/>
          <w:iCs/>
          <w:strike/>
          <w:color w:val="FF0000"/>
        </w:rPr>
        <w:t>70</w:t>
      </w:r>
      <w:r w:rsidRPr="007E00D1">
        <w:rPr>
          <w:i/>
          <w:iCs/>
        </w:rPr>
        <w:t> </w:t>
      </w:r>
      <w:r w:rsidRPr="007E00D1">
        <w:rPr>
          <w:b/>
          <w:bCs/>
          <w:i/>
          <w:iCs/>
          <w:color w:val="FF0000"/>
          <w:u w:val="single"/>
        </w:rPr>
        <w:t>46</w:t>
      </w:r>
      <w:r w:rsidRPr="007E00D1">
        <w:rPr>
          <w:b/>
          <w:bCs/>
          <w:i/>
          <w:iCs/>
        </w:rPr>
        <w:t xml:space="preserve"> </w:t>
      </w:r>
      <w:r w:rsidRPr="007E00D1">
        <w:rPr>
          <w:i/>
          <w:iCs/>
        </w:rPr>
        <w:t>if the amendment is needed for 1 of the following reasons:</w:t>
      </w:r>
    </w:p>
    <w:p w14:paraId="04B35276" w14:textId="77777777" w:rsidR="007E00D1" w:rsidRPr="007E00D1" w:rsidRDefault="00CC15A7" w:rsidP="007E00D1">
      <w:pPr>
        <w:pStyle w:val="NumStyle2Lev3"/>
        <w:numPr>
          <w:ilvl w:val="0"/>
          <w:numId w:val="0"/>
        </w:numPr>
        <w:ind w:left="1134"/>
        <w:rPr>
          <w:i/>
          <w:iCs/>
        </w:rPr>
      </w:pPr>
      <w:r w:rsidRPr="007E00D1">
        <w:rPr>
          <w:i/>
          <w:iCs/>
        </w:rPr>
        <w:t xml:space="preserve">(2) </w:t>
      </w:r>
      <w:r w:rsidRPr="007E00D1">
        <w:rPr>
          <w:b/>
          <w:bCs/>
          <w:i/>
          <w:iCs/>
        </w:rPr>
        <w:t xml:space="preserve">Section </w:t>
      </w:r>
      <w:r w:rsidRPr="007E00D1">
        <w:rPr>
          <w:b/>
          <w:bCs/>
          <w:i/>
          <w:iCs/>
          <w:strike/>
          <w:color w:val="FF0000"/>
        </w:rPr>
        <w:t>69</w:t>
      </w:r>
      <w:r w:rsidRPr="007E00D1">
        <w:rPr>
          <w:b/>
          <w:bCs/>
          <w:i/>
          <w:iCs/>
          <w:color w:val="FF0000"/>
        </w:rPr>
        <w:t xml:space="preserve"> </w:t>
      </w:r>
      <w:r w:rsidRPr="007E00D1">
        <w:rPr>
          <w:b/>
          <w:bCs/>
          <w:i/>
          <w:iCs/>
          <w:color w:val="FF0000"/>
          <w:u w:val="single"/>
        </w:rPr>
        <w:t>45</w:t>
      </w:r>
      <w:r w:rsidRPr="007E00D1">
        <w:rPr>
          <w:b/>
          <w:bCs/>
          <w:i/>
          <w:iCs/>
          <w:color w:val="FF0000"/>
        </w:rPr>
        <w:t xml:space="preserve"> </w:t>
      </w:r>
      <w:r w:rsidRPr="007E00D1">
        <w:rPr>
          <w:i/>
          <w:iCs/>
        </w:rPr>
        <w:t>does not apply to amendments made under this section.</w:t>
      </w:r>
    </w:p>
    <w:p w14:paraId="1102FE17" w14:textId="1B7A8CFE" w:rsidR="00FC2144" w:rsidRPr="00FC2144" w:rsidRDefault="00FE2CDC" w:rsidP="00FC2144">
      <w:pPr>
        <w:pStyle w:val="NumStyle2Lev2"/>
        <w:rPr>
          <w:rFonts w:ascii="Aptos" w:hAnsi="Aptos"/>
          <w:sz w:val="22"/>
          <w:szCs w:val="22"/>
        </w:rPr>
      </w:pPr>
      <w:r>
        <w:rPr>
          <w:bdr w:val="none" w:sz="0" w:space="0" w:color="auto" w:frame="1"/>
        </w:rPr>
        <w:t>Clause</w:t>
      </w:r>
      <w:r w:rsidR="00CC15A7">
        <w:rPr>
          <w:bdr w:val="none" w:sz="0" w:space="0" w:color="auto" w:frame="1"/>
        </w:rPr>
        <w:t xml:space="preserve"> 62(1)(f) limit</w:t>
      </w:r>
      <w:r w:rsidR="003400DA">
        <w:rPr>
          <w:bdr w:val="none" w:sz="0" w:space="0" w:color="auto" w:frame="1"/>
        </w:rPr>
        <w:t>s</w:t>
      </w:r>
      <w:r w:rsidR="00CC15A7">
        <w:rPr>
          <w:bdr w:val="none" w:sz="0" w:space="0" w:color="auto" w:frame="1"/>
        </w:rPr>
        <w:t xml:space="preserve"> amendments to changes that are minor in effect, correct errors, or are technical in nature.</w:t>
      </w:r>
      <w:r w:rsidR="003400DA">
        <w:rPr>
          <w:bdr w:val="none" w:sz="0" w:space="0" w:color="auto" w:frame="1"/>
        </w:rPr>
        <w:t xml:space="preserve"> There is no clear mechanism to </w:t>
      </w:r>
      <w:r w:rsidR="0092774F">
        <w:rPr>
          <w:bdr w:val="none" w:sz="0" w:space="0" w:color="auto" w:frame="1"/>
        </w:rPr>
        <w:t>review or amend national direction if unintended consequences arise</w:t>
      </w:r>
      <w:r w:rsidR="00851C20">
        <w:rPr>
          <w:bdr w:val="none" w:sz="0" w:space="0" w:color="auto" w:frame="1"/>
        </w:rPr>
        <w:t xml:space="preserve"> or </w:t>
      </w:r>
      <w:r w:rsidR="00C6794D">
        <w:rPr>
          <w:bdr w:val="none" w:sz="0" w:space="0" w:color="auto" w:frame="1"/>
        </w:rPr>
        <w:t xml:space="preserve">changes are required to align with industry best </w:t>
      </w:r>
      <w:r w:rsidR="00BC241D">
        <w:rPr>
          <w:bdr w:val="none" w:sz="0" w:space="0" w:color="auto" w:frame="1"/>
        </w:rPr>
        <w:t>practice beyond</w:t>
      </w:r>
      <w:r w:rsidR="0092774F">
        <w:rPr>
          <w:bdr w:val="none" w:sz="0" w:space="0" w:color="auto" w:frame="1"/>
        </w:rPr>
        <w:t xml:space="preserve"> the current scope of </w:t>
      </w:r>
      <w:r>
        <w:rPr>
          <w:bdr w:val="none" w:sz="0" w:space="0" w:color="auto" w:frame="1"/>
        </w:rPr>
        <w:t>clause</w:t>
      </w:r>
      <w:r w:rsidR="0092774F">
        <w:rPr>
          <w:bdr w:val="none" w:sz="0" w:space="0" w:color="auto" w:frame="1"/>
        </w:rPr>
        <w:t xml:space="preserve"> 62. </w:t>
      </w:r>
      <w:r w:rsidR="003978D3">
        <w:rPr>
          <w:bdr w:val="none" w:sz="0" w:space="0" w:color="auto" w:frame="1"/>
        </w:rPr>
        <w:t>This</w:t>
      </w:r>
      <w:r w:rsidR="00121E19">
        <w:rPr>
          <w:bdr w:val="none" w:sz="0" w:space="0" w:color="auto" w:frame="1"/>
        </w:rPr>
        <w:t xml:space="preserve"> also</w:t>
      </w:r>
      <w:r w:rsidR="003978D3">
        <w:rPr>
          <w:bdr w:val="none" w:sz="0" w:space="0" w:color="auto" w:frame="1"/>
        </w:rPr>
        <w:t xml:space="preserve"> risks national instruments becoming </w:t>
      </w:r>
      <w:r w:rsidR="00121E19">
        <w:rPr>
          <w:bdr w:val="none" w:sz="0" w:space="0" w:color="auto" w:frame="1"/>
        </w:rPr>
        <w:t>out of date if best practice</w:t>
      </w:r>
      <w:r w:rsidR="006229EA">
        <w:rPr>
          <w:bdr w:val="none" w:sz="0" w:space="0" w:color="auto" w:frame="1"/>
        </w:rPr>
        <w:t xml:space="preserve"> standards or methods change. To enable a clear pathway for this, we recommend the following amendments</w:t>
      </w:r>
      <w:r w:rsidR="00C6794D">
        <w:rPr>
          <w:bdr w:val="none" w:sz="0" w:space="0" w:color="auto" w:frame="1"/>
        </w:rPr>
        <w:t xml:space="preserve"> to clause </w:t>
      </w:r>
      <w:r w:rsidR="00673747">
        <w:rPr>
          <w:bdr w:val="none" w:sz="0" w:space="0" w:color="auto" w:frame="1"/>
        </w:rPr>
        <w:t>62(1)(f)</w:t>
      </w:r>
      <w:r w:rsidR="006229EA">
        <w:rPr>
          <w:bdr w:val="none" w:sz="0" w:space="0" w:color="auto" w:frame="1"/>
        </w:rPr>
        <w:t>:</w:t>
      </w:r>
    </w:p>
    <w:p w14:paraId="0E61F272" w14:textId="634B50E2" w:rsidR="009250B9" w:rsidRDefault="00AB62F9" w:rsidP="009250B9">
      <w:pPr>
        <w:pStyle w:val="NumStyle2Lev3"/>
        <w:numPr>
          <w:ilvl w:val="0"/>
          <w:numId w:val="0"/>
        </w:numPr>
        <w:ind w:left="1134"/>
        <w:rPr>
          <w:i/>
          <w:iCs/>
        </w:rPr>
      </w:pPr>
      <w:r w:rsidRPr="00BC241D">
        <w:rPr>
          <w:i/>
          <w:iCs/>
        </w:rPr>
        <w:t xml:space="preserve">(1) The Minister may amend a national standard without complying with </w:t>
      </w:r>
      <w:r w:rsidRPr="00BC241D">
        <w:rPr>
          <w:b/>
          <w:bCs/>
          <w:i/>
          <w:iCs/>
        </w:rPr>
        <w:t>section</w:t>
      </w:r>
      <w:r w:rsidR="009250B9" w:rsidRPr="00BC241D">
        <w:rPr>
          <w:b/>
          <w:bCs/>
          <w:i/>
          <w:iCs/>
        </w:rPr>
        <w:t xml:space="preserve"> </w:t>
      </w:r>
      <w:r w:rsidRPr="00BC241D">
        <w:rPr>
          <w:b/>
          <w:bCs/>
          <w:i/>
          <w:iCs/>
        </w:rPr>
        <w:t>70</w:t>
      </w:r>
      <w:r w:rsidRPr="00BC241D">
        <w:rPr>
          <w:i/>
          <w:iCs/>
        </w:rPr>
        <w:t xml:space="preserve"> if the amendment is needed for 1 of the following reasons:</w:t>
      </w:r>
    </w:p>
    <w:p w14:paraId="2A8B8200" w14:textId="3D51331E" w:rsidR="00673747" w:rsidRPr="00013AAF" w:rsidRDefault="00673747" w:rsidP="00013AAF">
      <w:pPr>
        <w:pStyle w:val="NumStyle2Lev3"/>
        <w:numPr>
          <w:ilvl w:val="0"/>
          <w:numId w:val="0"/>
        </w:numPr>
        <w:ind w:left="1440"/>
        <w:rPr>
          <w:i/>
          <w:iCs/>
        </w:rPr>
      </w:pPr>
      <w:r w:rsidRPr="009250B9">
        <w:rPr>
          <w:i/>
          <w:iCs/>
        </w:rPr>
        <w:lastRenderedPageBreak/>
        <w:t xml:space="preserve">(f) to make changes that are no more than minor in effect, </w:t>
      </w:r>
      <w:r w:rsidRPr="00013AAF">
        <w:rPr>
          <w:i/>
          <w:iCs/>
          <w:color w:val="FF0000"/>
          <w:u w:val="single"/>
        </w:rPr>
        <w:t>to address unintended consequences, to align with industry best practice,</w:t>
      </w:r>
      <w:r w:rsidRPr="00013AAF">
        <w:rPr>
          <w:i/>
          <w:iCs/>
          <w:color w:val="FF0000"/>
        </w:rPr>
        <w:t xml:space="preserve"> </w:t>
      </w:r>
      <w:r w:rsidRPr="009250B9">
        <w:rPr>
          <w:i/>
          <w:iCs/>
        </w:rPr>
        <w:t>to correct errors, or to make similar technical alterations</w:t>
      </w:r>
    </w:p>
    <w:p w14:paraId="4902FF29" w14:textId="105709DB" w:rsidR="001C4212" w:rsidRDefault="00CC15A7" w:rsidP="00961601">
      <w:pPr>
        <w:pStyle w:val="NumStyle2Lev2"/>
      </w:pPr>
      <w:r>
        <w:t xml:space="preserve">The first tranche of National Instruments only requires 20 working days' notice for submissions (unless the Minister considers further notice is needed).  This is insufficient time to consider and meaningfully submit on critical </w:t>
      </w:r>
      <w:r w:rsidR="002467D5">
        <w:t>national direction</w:t>
      </w:r>
      <w:r>
        <w:t>.</w:t>
      </w:r>
      <w:r w:rsidR="002467D5">
        <w:t xml:space="preserve"> We recommend the following amendments to </w:t>
      </w:r>
      <w:r w:rsidR="00BB77CF">
        <w:t>clause</w:t>
      </w:r>
      <w:r w:rsidR="00BB77CF" w:rsidRPr="00FE1B9F">
        <w:t xml:space="preserve"> </w:t>
      </w:r>
      <w:r w:rsidR="0064131F" w:rsidRPr="00FE1B9F">
        <w:t>7(3)(b), sch</w:t>
      </w:r>
      <w:r w:rsidR="00FE1B9F" w:rsidRPr="00FE1B9F">
        <w:t>edule</w:t>
      </w:r>
      <w:r w:rsidR="0064131F" w:rsidRPr="00FE1B9F">
        <w:t xml:space="preserve"> 1</w:t>
      </w:r>
      <w:r w:rsidR="00FE1B9F" w:rsidRPr="00FE1B9F">
        <w:t xml:space="preserve"> of the </w:t>
      </w:r>
      <w:r w:rsidR="1C81C122">
        <w:t>P</w:t>
      </w:r>
      <w:r w:rsidR="00FE1B9F">
        <w:t>lanning</w:t>
      </w:r>
      <w:r w:rsidR="00FE1B9F" w:rsidRPr="00FE1B9F">
        <w:t xml:space="preserve"> Bill:</w:t>
      </w:r>
    </w:p>
    <w:p w14:paraId="329C7B3D" w14:textId="1742B218" w:rsidR="00BC4DAA" w:rsidRPr="00356DBE" w:rsidRDefault="00CC15A7" w:rsidP="00013AAF">
      <w:pPr>
        <w:pStyle w:val="NumStyle2Lev2"/>
        <w:numPr>
          <w:ilvl w:val="0"/>
          <w:numId w:val="0"/>
        </w:numPr>
        <w:ind w:left="1440"/>
      </w:pPr>
      <w:r w:rsidRPr="0037070C">
        <w:rPr>
          <w:i/>
          <w:iCs/>
        </w:rPr>
        <w:t xml:space="preserve">(b)   Those notified (under either Act) must be given </w:t>
      </w:r>
      <w:r w:rsidRPr="0037070C">
        <w:rPr>
          <w:i/>
          <w:iCs/>
          <w:strike/>
          <w:color w:val="FF0000"/>
        </w:rPr>
        <w:t>20</w:t>
      </w:r>
      <w:r w:rsidRPr="0037070C">
        <w:rPr>
          <w:i/>
          <w:iCs/>
          <w:color w:val="FF0000"/>
        </w:rPr>
        <w:t xml:space="preserve"> </w:t>
      </w:r>
      <w:r w:rsidRPr="0037070C">
        <w:rPr>
          <w:i/>
          <w:iCs/>
          <w:color w:val="FF0000"/>
          <w:u w:val="single"/>
        </w:rPr>
        <w:t xml:space="preserve">40 </w:t>
      </w:r>
      <w:r w:rsidRPr="0037070C">
        <w:rPr>
          <w:i/>
          <w:iCs/>
        </w:rPr>
        <w:t>working days to make submissions on the subject matter of the proposal unless the minister considers that further time is needed.</w:t>
      </w:r>
    </w:p>
    <w:p w14:paraId="16AB9095" w14:textId="70C01653" w:rsidR="0090471A" w:rsidRPr="00A67303" w:rsidRDefault="00CC15A7" w:rsidP="00A67303">
      <w:pPr>
        <w:pStyle w:val="NumStyle2Lev2"/>
        <w:numPr>
          <w:ilvl w:val="0"/>
          <w:numId w:val="0"/>
        </w:numPr>
        <w:ind w:left="567" w:hanging="567"/>
      </w:pPr>
      <w:r w:rsidRPr="00A67303">
        <w:rPr>
          <w:i/>
          <w:iCs/>
        </w:rPr>
        <w:t>Regulatory relief</w:t>
      </w:r>
    </w:p>
    <w:p w14:paraId="51639752" w14:textId="3514673B" w:rsidR="00C6491F" w:rsidRDefault="00CC15A7" w:rsidP="00DD04A9">
      <w:pPr>
        <w:pStyle w:val="NumStyle2Lev2"/>
      </w:pPr>
      <w:r>
        <w:t xml:space="preserve">Vector maintains a neutral position on the </w:t>
      </w:r>
      <w:r w:rsidR="00A774AD">
        <w:t xml:space="preserve">provisions </w:t>
      </w:r>
      <w:r w:rsidR="009B55AD">
        <w:t xml:space="preserve">laid out in </w:t>
      </w:r>
      <w:r w:rsidR="00A941D3">
        <w:t>the Planning Bill ‘</w:t>
      </w:r>
      <w:r w:rsidR="00A774AD" w:rsidRPr="00A774AD">
        <w:rPr>
          <w:i/>
          <w:iCs/>
        </w:rPr>
        <w:t>Part 4 – Regulatory relief</w:t>
      </w:r>
      <w:r w:rsidR="00A941D3">
        <w:rPr>
          <w:i/>
          <w:iCs/>
        </w:rPr>
        <w:t>’</w:t>
      </w:r>
      <w:r w:rsidR="00DD04A9">
        <w:t xml:space="preserve"> provided the scope </w:t>
      </w:r>
      <w:r w:rsidR="00E57205">
        <w:t>of relie</w:t>
      </w:r>
      <w:r w:rsidR="009D03A1">
        <w:t xml:space="preserve">f </w:t>
      </w:r>
      <w:r w:rsidR="00D62D7D">
        <w:t xml:space="preserve">remains </w:t>
      </w:r>
      <w:r w:rsidR="009D03A1">
        <w:t xml:space="preserve">limited to the specified </w:t>
      </w:r>
      <w:r w:rsidR="00834A36">
        <w:t>topics</w:t>
      </w:r>
      <w:r>
        <w:t xml:space="preserve"> defined in the </w:t>
      </w:r>
      <w:r w:rsidR="0016089A">
        <w:t xml:space="preserve">Planning </w:t>
      </w:r>
      <w:r>
        <w:t>Bill</w:t>
      </w:r>
      <w:r w:rsidR="00A941D3">
        <w:t xml:space="preserve"> and do not apply to </w:t>
      </w:r>
      <w:r w:rsidR="003E058A">
        <w:t>the perceived impacts of electricity networks on land values</w:t>
      </w:r>
      <w:r>
        <w:t xml:space="preserve">. </w:t>
      </w:r>
    </w:p>
    <w:p w14:paraId="01C4631D" w14:textId="45D0A02B" w:rsidR="00BE5440" w:rsidRPr="007B3287" w:rsidRDefault="00CC15A7" w:rsidP="00961601">
      <w:pPr>
        <w:pStyle w:val="NumStyle2Lev2"/>
      </w:pPr>
      <w:r>
        <w:t>For avoidance of doubt, the planning system must not provide</w:t>
      </w:r>
      <w:r w:rsidR="005465DE">
        <w:t xml:space="preserve"> an avenue for landowners to seek </w:t>
      </w:r>
      <w:r w:rsidR="000A4D3B">
        <w:t>relief from network utility operators for perceived loss of</w:t>
      </w:r>
      <w:r w:rsidR="00AF6C0E">
        <w:t xml:space="preserve"> land value or utility</w:t>
      </w:r>
      <w:r w:rsidR="003D1314">
        <w:t xml:space="preserve"> </w:t>
      </w:r>
      <w:r w:rsidR="00242212">
        <w:t>based on</w:t>
      </w:r>
      <w:r w:rsidR="003D1314">
        <w:t xml:space="preserve"> plan</w:t>
      </w:r>
      <w:r w:rsidR="00242212">
        <w:t>-making</w:t>
      </w:r>
      <w:r w:rsidR="003D1314">
        <w:t xml:space="preserve"> or consent decision</w:t>
      </w:r>
      <w:r w:rsidR="00242212">
        <w:t>s</w:t>
      </w:r>
      <w:r w:rsidR="00AF6C0E">
        <w:t xml:space="preserve">. </w:t>
      </w:r>
      <w:r w:rsidR="002658F6">
        <w:t xml:space="preserve">Property rights </w:t>
      </w:r>
      <w:r w:rsidR="00242212">
        <w:t xml:space="preserve">with respect to electricity </w:t>
      </w:r>
      <w:r w:rsidR="000745CB">
        <w:t xml:space="preserve">networks </w:t>
      </w:r>
      <w:r w:rsidR="002658F6">
        <w:t xml:space="preserve">are already appropriately managed </w:t>
      </w:r>
      <w:r w:rsidR="000745CB">
        <w:t xml:space="preserve">through other legislation, such as </w:t>
      </w:r>
      <w:r w:rsidR="002658F6">
        <w:t xml:space="preserve">Part </w:t>
      </w:r>
      <w:r w:rsidR="004B5985">
        <w:t>T</w:t>
      </w:r>
      <w:r w:rsidR="002658F6">
        <w:t xml:space="preserve">hree of the Electricity Act </w:t>
      </w:r>
      <w:r w:rsidR="004B5985">
        <w:t xml:space="preserve">1992 </w:t>
      </w:r>
      <w:r w:rsidR="002658F6">
        <w:t>with respect to existing works</w:t>
      </w:r>
      <w:r w:rsidR="003E058A">
        <w:t>,</w:t>
      </w:r>
      <w:r w:rsidR="002658F6">
        <w:t xml:space="preserve"> and </w:t>
      </w:r>
      <w:r w:rsidR="0072108F">
        <w:t xml:space="preserve">the construction of new assets on privately-owned land is otherwise negotiated directly with </w:t>
      </w:r>
      <w:r w:rsidR="00B606F7">
        <w:t>landowners</w:t>
      </w:r>
      <w:r w:rsidR="008D76FC">
        <w:t>.</w:t>
      </w:r>
      <w:r w:rsidR="003E058A">
        <w:t xml:space="preserve"> The primary legislation for the new planning system </w:t>
      </w:r>
      <w:r w:rsidR="005214FB">
        <w:t xml:space="preserve">must ensure that </w:t>
      </w:r>
      <w:r w:rsidR="00EF1293">
        <w:t xml:space="preserve">regulatory relief cannot be used to </w:t>
      </w:r>
      <w:r w:rsidR="00BD232A">
        <w:t>obstruct or delay necessary works on the electricity network</w:t>
      </w:r>
      <w:r w:rsidR="00756242">
        <w:t xml:space="preserve"> through the planning process. </w:t>
      </w:r>
      <w:r w:rsidR="00BD232A">
        <w:t xml:space="preserve"> </w:t>
      </w:r>
    </w:p>
    <w:p w14:paraId="1785FD27" w14:textId="77777777" w:rsidR="007B3287" w:rsidRDefault="00CC15A7">
      <w:pPr>
        <w:tabs>
          <w:tab w:val="clear" w:pos="284"/>
          <w:tab w:val="clear" w:pos="567"/>
          <w:tab w:val="clear" w:pos="1276"/>
          <w:tab w:val="clear" w:pos="1985"/>
        </w:tabs>
        <w:spacing w:before="120" w:after="120" w:line="240" w:lineRule="atLeast"/>
        <w:ind w:left="567"/>
        <w:rPr>
          <w:rFonts w:ascii="Arial" w:eastAsiaTheme="majorEastAsia" w:hAnsi="Arial" w:cs="Arial"/>
          <w:b/>
          <w:bCs/>
          <w:sz w:val="32"/>
          <w:szCs w:val="24"/>
        </w:rPr>
      </w:pPr>
      <w:r>
        <w:rPr>
          <w:b/>
          <w:bCs/>
        </w:rPr>
        <w:br w:type="page"/>
      </w:r>
    </w:p>
    <w:p w14:paraId="15EC7E5C" w14:textId="713170FB" w:rsidR="001040F9" w:rsidRDefault="00CC15A7" w:rsidP="00B83576">
      <w:pPr>
        <w:pStyle w:val="Heading1"/>
        <w:numPr>
          <w:ilvl w:val="0"/>
          <w:numId w:val="0"/>
        </w:numPr>
        <w:ind w:left="567" w:hanging="567"/>
        <w:rPr>
          <w:b/>
          <w:bCs/>
        </w:rPr>
      </w:pPr>
      <w:bookmarkStart w:id="5" w:name="_Toc221724898"/>
      <w:r w:rsidRPr="004A61DD">
        <w:rPr>
          <w:b/>
          <w:bCs/>
        </w:rPr>
        <w:lastRenderedPageBreak/>
        <w:t>Planning Bill</w:t>
      </w:r>
      <w:bookmarkEnd w:id="5"/>
    </w:p>
    <w:p w14:paraId="6C5C8298" w14:textId="77777777" w:rsidR="00B83576" w:rsidRPr="00B83576" w:rsidRDefault="00B83576" w:rsidP="00B83576"/>
    <w:p w14:paraId="0A78BDFE" w14:textId="3958BACD" w:rsidR="0086446D" w:rsidRDefault="00CC15A7" w:rsidP="00D2142D">
      <w:pPr>
        <w:pStyle w:val="NumStyle2Lev2"/>
        <w:numPr>
          <w:ilvl w:val="0"/>
          <w:numId w:val="0"/>
        </w:numPr>
        <w:ind w:left="567" w:hanging="567"/>
        <w:rPr>
          <w:i/>
          <w:iCs/>
        </w:rPr>
      </w:pPr>
      <w:r>
        <w:rPr>
          <w:i/>
          <w:iCs/>
        </w:rPr>
        <w:t>Interpretations</w:t>
      </w:r>
      <w:r w:rsidR="00BC241D">
        <w:rPr>
          <w:i/>
          <w:iCs/>
        </w:rPr>
        <w:t xml:space="preserve"> – Infrastructure </w:t>
      </w:r>
      <w:r>
        <w:rPr>
          <w:i/>
          <w:iCs/>
        </w:rPr>
        <w:t xml:space="preserve"> </w:t>
      </w:r>
    </w:p>
    <w:p w14:paraId="689AFFE9" w14:textId="3A4292D2" w:rsidR="0086446D" w:rsidRPr="001776A8" w:rsidRDefault="00CA05BE" w:rsidP="00961601">
      <w:pPr>
        <w:pStyle w:val="NumStyle2Lev2"/>
      </w:pPr>
      <w:r w:rsidRPr="001776A8">
        <w:t>The</w:t>
      </w:r>
      <w:r w:rsidR="00296A92" w:rsidRPr="001776A8">
        <w:t xml:space="preserve"> definition of “infrastructure” </w:t>
      </w:r>
      <w:r w:rsidR="00747E16" w:rsidRPr="001776A8">
        <w:t xml:space="preserve">appears to be limited to </w:t>
      </w:r>
      <w:r w:rsidR="00A16A88" w:rsidRPr="001776A8">
        <w:t xml:space="preserve">application within Schedule 5 of the Planning Bill. For both certainty of interpretation and </w:t>
      </w:r>
      <w:r w:rsidR="00C57520" w:rsidRPr="001776A8">
        <w:t>legibility</w:t>
      </w:r>
      <w:r w:rsidR="00A16A88" w:rsidRPr="001776A8">
        <w:t xml:space="preserve"> of the legislation, we </w:t>
      </w:r>
      <w:r w:rsidR="00C57520" w:rsidRPr="001776A8">
        <w:t>propose that the definition of infrastructure</w:t>
      </w:r>
      <w:r w:rsidR="0015267C">
        <w:t xml:space="preserve"> in Schedule 5 is </w:t>
      </w:r>
      <w:r w:rsidR="00F47ED0">
        <w:t xml:space="preserve">moved to the </w:t>
      </w:r>
      <w:r w:rsidR="00C57520" w:rsidRPr="001776A8">
        <w:t>interpretation sections of both Bills</w:t>
      </w:r>
      <w:r w:rsidR="00B75094" w:rsidRPr="001776A8">
        <w:t xml:space="preserve">. </w:t>
      </w:r>
      <w:r w:rsidR="00C57520" w:rsidRPr="001776A8">
        <w:t xml:space="preserve"> </w:t>
      </w:r>
      <w:r w:rsidR="0019789C" w:rsidRPr="001776A8">
        <w:t xml:space="preserve"> </w:t>
      </w:r>
      <w:r w:rsidRPr="001776A8">
        <w:t xml:space="preserve"> </w:t>
      </w:r>
    </w:p>
    <w:p w14:paraId="719C0B7E" w14:textId="03227758" w:rsidR="000A3071" w:rsidRPr="0086446D" w:rsidRDefault="00CC15A7" w:rsidP="00D2142D">
      <w:pPr>
        <w:pStyle w:val="NumStyle2Lev2"/>
        <w:numPr>
          <w:ilvl w:val="0"/>
          <w:numId w:val="0"/>
        </w:numPr>
        <w:ind w:left="567" w:hanging="567"/>
        <w:rPr>
          <w:i/>
          <w:iCs/>
        </w:rPr>
      </w:pPr>
      <w:r w:rsidRPr="0086446D">
        <w:rPr>
          <w:i/>
          <w:iCs/>
        </w:rPr>
        <w:t>Goals</w:t>
      </w:r>
      <w:r w:rsidR="0086446D">
        <w:rPr>
          <w:i/>
          <w:iCs/>
        </w:rPr>
        <w:t xml:space="preserve"> </w:t>
      </w:r>
    </w:p>
    <w:p w14:paraId="1A1A67FC" w14:textId="1BDF8CBE" w:rsidR="003B606B" w:rsidRDefault="00CC15A7" w:rsidP="00961601">
      <w:pPr>
        <w:pStyle w:val="NumStyle2Lev2"/>
      </w:pPr>
      <w:r>
        <w:t>The Planning Bill includes provisions that require the separation of "incompatible land uses", including a goal which requires decision-making under the Bill "to ensure that land use does not unreasonably affect others, including by separating incompatible land uses".</w:t>
      </w:r>
      <w:r>
        <w:rPr>
          <w:rStyle w:val="FootnoteReference"/>
        </w:rPr>
        <w:footnoteReference w:id="3"/>
      </w:r>
      <w:r>
        <w:t xml:space="preserve">  Regional spatial plans also require consideration of "existing and planned uses that require separation from incompatible activities".</w:t>
      </w:r>
      <w:r>
        <w:rPr>
          <w:rStyle w:val="FootnoteReference"/>
        </w:rPr>
        <w:footnoteReference w:id="4"/>
      </w:r>
    </w:p>
    <w:p w14:paraId="77F81C4A" w14:textId="52A48DE2" w:rsidR="00D2142D" w:rsidRDefault="00CC15A7" w:rsidP="002E4349">
      <w:pPr>
        <w:pStyle w:val="NumStyle2Lev2"/>
      </w:pPr>
      <w:r>
        <w:t>Whilst we understand that the</w:t>
      </w:r>
      <w:r w:rsidR="006A395F">
        <w:t xml:space="preserve">re is no hierarchy in the </w:t>
      </w:r>
      <w:r w:rsidR="00BC3C23">
        <w:t>goals</w:t>
      </w:r>
      <w:r w:rsidR="000E7686">
        <w:t xml:space="preserve">, </w:t>
      </w:r>
      <w:r w:rsidR="00FC343F">
        <w:t xml:space="preserve">the wording of </w:t>
      </w:r>
      <w:r w:rsidR="00081C0B">
        <w:t xml:space="preserve">clause </w:t>
      </w:r>
      <w:r w:rsidR="000E7686">
        <w:t>11(1)(e)</w:t>
      </w:r>
      <w:r w:rsidR="00FC04F0">
        <w:t xml:space="preserve"> of the</w:t>
      </w:r>
      <w:r w:rsidR="00FC343F">
        <w:t xml:space="preserve"> Planning Bill</w:t>
      </w:r>
      <w:r w:rsidR="009A58EB">
        <w:t xml:space="preserve"> </w:t>
      </w:r>
      <w:r w:rsidR="0094131B" w:rsidRPr="0094131B">
        <w:rPr>
          <w:i/>
          <w:iCs/>
        </w:rPr>
        <w:t>“to plan and provide for infrastructure to meet current and expected demand”</w:t>
      </w:r>
      <w:r w:rsidR="0094131B">
        <w:t xml:space="preserve"> is not particularly strong</w:t>
      </w:r>
      <w:r w:rsidR="00DD3CE2">
        <w:t xml:space="preserve"> in comparison to other goals, several of which use the terms “enable”, and “protect”</w:t>
      </w:r>
      <w:r w:rsidR="0093607C">
        <w:t xml:space="preserve">. </w:t>
      </w:r>
    </w:p>
    <w:p w14:paraId="7619F1B4" w14:textId="2074D9E7" w:rsidR="00DD3CE2" w:rsidRDefault="00CC15A7" w:rsidP="00941110">
      <w:pPr>
        <w:pStyle w:val="NumStyle2Lev2"/>
      </w:pPr>
      <w:r>
        <w:t>Th</w:t>
      </w:r>
      <w:r w:rsidR="00305778">
        <w:t>e drafting is also inconsistent with the content of recent national direction for Infrastructure and Electricity Networks</w:t>
      </w:r>
      <w:r w:rsidR="00580B9B">
        <w:t xml:space="preserve"> which seeks to explicitly enable and protect </w:t>
      </w:r>
      <w:r w:rsidR="00941110">
        <w:t>infrastructure. The wording of the goal should be consistent with this direction</w:t>
      </w:r>
      <w:r w:rsidR="006B3E87">
        <w:t>,</w:t>
      </w:r>
      <w:r w:rsidR="008D00E1">
        <w:t xml:space="preserve"> which will form part of the national policy direction and </w:t>
      </w:r>
      <w:r w:rsidR="006B3E87">
        <w:t>national standards of the new planning system</w:t>
      </w:r>
      <w:r w:rsidR="00941110">
        <w:t xml:space="preserve">. </w:t>
      </w:r>
    </w:p>
    <w:p w14:paraId="4375CC47" w14:textId="173B5EA7" w:rsidR="00474196" w:rsidRDefault="00CC15A7" w:rsidP="00474196">
      <w:pPr>
        <w:pStyle w:val="NumStyle2Lev2"/>
      </w:pPr>
      <w:r>
        <w:t>W</w:t>
      </w:r>
      <w:r w:rsidR="006B3E87">
        <w:t xml:space="preserve">e </w:t>
      </w:r>
      <w:r w:rsidR="00941110">
        <w:t>propose the following amended drafting</w:t>
      </w:r>
      <w:r w:rsidR="00AA37FC">
        <w:t xml:space="preserve"> of </w:t>
      </w:r>
      <w:r w:rsidR="00081C0B">
        <w:t xml:space="preserve">clause </w:t>
      </w:r>
      <w:r w:rsidR="00BC7C0A">
        <w:t>11(1)(e):</w:t>
      </w:r>
    </w:p>
    <w:p w14:paraId="2712D309" w14:textId="2CF80F75" w:rsidR="00F711DA" w:rsidRPr="00C46E19" w:rsidRDefault="00CC15A7" w:rsidP="00C46E19">
      <w:pPr>
        <w:pStyle w:val="NumStyle2Lev3"/>
        <w:numPr>
          <w:ilvl w:val="0"/>
          <w:numId w:val="0"/>
        </w:numPr>
        <w:ind w:left="1134"/>
        <w:rPr>
          <w:i/>
          <w:iCs/>
        </w:rPr>
      </w:pPr>
      <w:r w:rsidRPr="00C46E19">
        <w:rPr>
          <w:i/>
          <w:iCs/>
        </w:rPr>
        <w:t xml:space="preserve">(e) To </w:t>
      </w:r>
      <w:r w:rsidRPr="00C46E19">
        <w:rPr>
          <w:i/>
          <w:iCs/>
          <w:color w:val="FF0000"/>
        </w:rPr>
        <w:t>plan</w:t>
      </w:r>
      <w:r w:rsidRPr="00C46E19">
        <w:rPr>
          <w:i/>
          <w:iCs/>
          <w:strike/>
          <w:color w:val="FF0000"/>
        </w:rPr>
        <w:t xml:space="preserve"> and provide for</w:t>
      </w:r>
      <w:r w:rsidRPr="00C46E19">
        <w:rPr>
          <w:i/>
          <w:iCs/>
          <w:color w:val="FF0000"/>
          <w:u w:val="single"/>
        </w:rPr>
        <w:t xml:space="preserve">, enable and protect </w:t>
      </w:r>
      <w:r w:rsidRPr="003D0C4C">
        <w:t xml:space="preserve">infrastructure </w:t>
      </w:r>
      <w:r w:rsidRPr="00C46E19">
        <w:rPr>
          <w:i/>
          <w:iCs/>
        </w:rPr>
        <w:t>to meet current and expected demand.</w:t>
      </w:r>
    </w:p>
    <w:p w14:paraId="6ABE26AB" w14:textId="514678B5" w:rsidR="000A3071" w:rsidRDefault="00CC15A7" w:rsidP="000A3071">
      <w:pPr>
        <w:pStyle w:val="NumStyle2Lev2"/>
        <w:numPr>
          <w:ilvl w:val="0"/>
          <w:numId w:val="0"/>
        </w:numPr>
        <w:ind w:left="567" w:hanging="567"/>
      </w:pPr>
      <w:r>
        <w:rPr>
          <w:i/>
          <w:iCs/>
        </w:rPr>
        <w:t xml:space="preserve">Permitted activity </w:t>
      </w:r>
      <w:r w:rsidR="004F4BF5">
        <w:rPr>
          <w:i/>
          <w:iCs/>
        </w:rPr>
        <w:t>r</w:t>
      </w:r>
      <w:r>
        <w:rPr>
          <w:i/>
          <w:iCs/>
        </w:rPr>
        <w:t xml:space="preserve">ules </w:t>
      </w:r>
    </w:p>
    <w:p w14:paraId="485754C8" w14:textId="48DDF527" w:rsidR="008B0138" w:rsidRDefault="00CC15A7" w:rsidP="00185D01">
      <w:pPr>
        <w:pStyle w:val="NumStyle2Lev2"/>
      </w:pPr>
      <w:r>
        <w:t xml:space="preserve">The new planning system must recognise the operational realities of linear networks </w:t>
      </w:r>
      <w:r w:rsidR="00751BF1">
        <w:t xml:space="preserve">in its approach to regulating permitted activities. </w:t>
      </w:r>
      <w:r w:rsidR="00914E2A">
        <w:t xml:space="preserve">There appears to be a drafting error in </w:t>
      </w:r>
      <w:r w:rsidR="00081C0B">
        <w:t xml:space="preserve">clause </w:t>
      </w:r>
      <w:r w:rsidR="00914E2A">
        <w:t>38(1)(a) which would require all activities classed as ‘permitted’ to be registered with the relevant local authority prior to commencement</w:t>
      </w:r>
      <w:r w:rsidR="003C579D">
        <w:t xml:space="preserve"> which</w:t>
      </w:r>
      <w:r w:rsidR="000D4155">
        <w:t xml:space="preserve"> would potentially </w:t>
      </w:r>
      <w:r w:rsidR="00ED537C">
        <w:t xml:space="preserve">require </w:t>
      </w:r>
      <w:r w:rsidR="000D4155">
        <w:t xml:space="preserve">each </w:t>
      </w:r>
      <w:r w:rsidR="00ED537C">
        <w:t xml:space="preserve">of the thousands of </w:t>
      </w:r>
      <w:r w:rsidR="00AA39C0">
        <w:t xml:space="preserve">permitted </w:t>
      </w:r>
      <w:r w:rsidR="00ED537C">
        <w:t xml:space="preserve">activities </w:t>
      </w:r>
      <w:r w:rsidR="000D4155">
        <w:t xml:space="preserve">carried out on the network annually </w:t>
      </w:r>
      <w:r w:rsidR="003C579D">
        <w:t>to be registered</w:t>
      </w:r>
      <w:r w:rsidR="008012E3">
        <w:t>. This would directly undermine the a</w:t>
      </w:r>
      <w:r w:rsidR="00AA39C0">
        <w:t>i</w:t>
      </w:r>
      <w:r w:rsidR="008012E3">
        <w:t xml:space="preserve">m of the </w:t>
      </w:r>
      <w:r w:rsidR="00081C0B">
        <w:t>B</w:t>
      </w:r>
      <w:r w:rsidR="008012E3">
        <w:t>ill to simplify compliance and consenting</w:t>
      </w:r>
      <w:r w:rsidR="00AA39C0">
        <w:t xml:space="preserve"> and would likely result in a system that is more administratively burdensome than the RMA</w:t>
      </w:r>
      <w:r w:rsidR="008012E3">
        <w:t xml:space="preserve">. </w:t>
      </w:r>
    </w:p>
    <w:p w14:paraId="50BECBF1" w14:textId="0BB6C903" w:rsidR="00310720" w:rsidRDefault="00CC15A7" w:rsidP="00E24C0D">
      <w:pPr>
        <w:pStyle w:val="NumStyle2Lev2"/>
      </w:pPr>
      <w:r>
        <w:t>M</w:t>
      </w:r>
      <w:r w:rsidR="00C90A70">
        <w:t xml:space="preserve">ost of </w:t>
      </w:r>
      <w:r w:rsidR="00831BC5">
        <w:t>V</w:t>
      </w:r>
      <w:r w:rsidR="000D4F1E">
        <w:t>ector’s daily operation</w:t>
      </w:r>
      <w:r w:rsidR="48E6B1E5">
        <w:t>al</w:t>
      </w:r>
      <w:r w:rsidR="000D4F1E">
        <w:t xml:space="preserve">, maintenance, upgrade and repair activities </w:t>
      </w:r>
      <w:r w:rsidR="00831BC5">
        <w:t>are already permitted in the Auckland Unitary Plan. T</w:t>
      </w:r>
      <w:r w:rsidR="003C2C7D">
        <w:t>hese</w:t>
      </w:r>
      <w:r w:rsidR="00C62B0D">
        <w:t xml:space="preserve"> activities</w:t>
      </w:r>
      <w:r w:rsidR="003C2C7D">
        <w:t>, with very</w:t>
      </w:r>
      <w:r w:rsidR="00456B90">
        <w:t xml:space="preserve"> </w:t>
      </w:r>
      <w:r w:rsidR="003C2C7D">
        <w:t>limited exceptions such as notification of low-volume contaminated earthworks,</w:t>
      </w:r>
      <w:r w:rsidR="00E1773B">
        <w:t xml:space="preserve"> </w:t>
      </w:r>
      <w:r w:rsidR="00EE56B9">
        <w:t xml:space="preserve">are not required to be registered with </w:t>
      </w:r>
      <w:r w:rsidR="00206BE3">
        <w:t>the local authority</w:t>
      </w:r>
      <w:r w:rsidR="00EE56B9">
        <w:t xml:space="preserve">. </w:t>
      </w:r>
      <w:r w:rsidR="004711BE">
        <w:t xml:space="preserve">When working in the legal road, utilities are already required to </w:t>
      </w:r>
      <w:r w:rsidR="00312F5E">
        <w:t>obtain works access permits from the road controlling authority</w:t>
      </w:r>
      <w:r w:rsidR="009D194C">
        <w:t xml:space="preserve"> or</w:t>
      </w:r>
      <w:r w:rsidR="00312F5E">
        <w:t xml:space="preserve"> tree owner approvals from the local authority for permitted tree works</w:t>
      </w:r>
      <w:r w:rsidR="009D194C">
        <w:t>.</w:t>
      </w:r>
      <w:r w:rsidR="008012E3">
        <w:t xml:space="preserve"> These </w:t>
      </w:r>
      <w:r w:rsidR="006D3B2D">
        <w:t xml:space="preserve">processes ensure that the activities are carried out safely and </w:t>
      </w:r>
      <w:r w:rsidR="003C579D">
        <w:t xml:space="preserve">efficiently with appropriate engagement </w:t>
      </w:r>
      <w:r w:rsidR="007A2F34">
        <w:t xml:space="preserve">with the relevant authority. </w:t>
      </w:r>
      <w:r w:rsidR="006D3B2D">
        <w:t xml:space="preserve"> </w:t>
      </w:r>
      <w:r w:rsidR="00456B90">
        <w:t xml:space="preserve"> </w:t>
      </w:r>
      <w:r w:rsidR="00C81734">
        <w:t xml:space="preserve"> </w:t>
      </w:r>
      <w:r w:rsidR="00312F5E">
        <w:t xml:space="preserve"> </w:t>
      </w:r>
    </w:p>
    <w:p w14:paraId="5A0B3B3D" w14:textId="63B2A6F6" w:rsidR="00256831" w:rsidRDefault="00CC15A7" w:rsidP="00961601">
      <w:pPr>
        <w:pStyle w:val="NumStyle2Lev2"/>
      </w:pPr>
      <w:r>
        <w:t>We understand that the intent of permitted activity registration is not to capture all permitted activities, and that the scope for a</w:t>
      </w:r>
      <w:r w:rsidR="00206BE3">
        <w:t xml:space="preserve"> registration</w:t>
      </w:r>
      <w:r>
        <w:t xml:space="preserve"> threshold is to be determined </w:t>
      </w:r>
      <w:r w:rsidR="00206BE3">
        <w:t xml:space="preserve">at the lower </w:t>
      </w:r>
      <w:r w:rsidR="00206BE3">
        <w:lastRenderedPageBreak/>
        <w:t xml:space="preserve">levels of the </w:t>
      </w:r>
      <w:r>
        <w:t xml:space="preserve">system </w:t>
      </w:r>
      <w:r w:rsidR="00206BE3">
        <w:t xml:space="preserve">through </w:t>
      </w:r>
      <w:r>
        <w:t xml:space="preserve">national </w:t>
      </w:r>
      <w:r w:rsidR="007B25AC">
        <w:t xml:space="preserve">and </w:t>
      </w:r>
      <w:r>
        <w:t xml:space="preserve">local </w:t>
      </w:r>
      <w:r w:rsidR="007B25AC">
        <w:t xml:space="preserve">planning </w:t>
      </w:r>
      <w:r>
        <w:t>standards.</w:t>
      </w:r>
      <w:r w:rsidR="00840734">
        <w:t xml:space="preserve"> This intent must be reflected in the drafting of the primary legislation</w:t>
      </w:r>
      <w:r w:rsidR="00206BE3">
        <w:t xml:space="preserve"> to avoid an overly expansive scope</w:t>
      </w:r>
      <w:r w:rsidR="00E527EF">
        <w:t xml:space="preserve"> for the registration of permitted activities</w:t>
      </w:r>
      <w:r w:rsidR="00474196">
        <w:t>, which would result in significant burden to the operation of infrastructure</w:t>
      </w:r>
      <w:r w:rsidR="00AC4DE8">
        <w:t xml:space="preserve"> as well as administrative burden on local authorities due to the </w:t>
      </w:r>
      <w:r w:rsidR="004B0416">
        <w:t>large</w:t>
      </w:r>
      <w:r w:rsidR="00AC4DE8">
        <w:t xml:space="preserve"> volume of registrations </w:t>
      </w:r>
      <w:r w:rsidR="004B0416">
        <w:t xml:space="preserve">that would be </w:t>
      </w:r>
      <w:r w:rsidR="00AC4DE8">
        <w:t xml:space="preserve">required to operate electricity networks. </w:t>
      </w:r>
    </w:p>
    <w:p w14:paraId="72AB6577" w14:textId="54B8B6E2" w:rsidR="00E96519" w:rsidRDefault="00CC15A7" w:rsidP="00C46E19">
      <w:pPr>
        <w:pStyle w:val="NumStyle2Lev2"/>
      </w:pPr>
      <w:r>
        <w:t xml:space="preserve">Additionally, </w:t>
      </w:r>
      <w:r w:rsidR="00957D95">
        <w:t>t</w:t>
      </w:r>
      <w:r w:rsidR="005053AA" w:rsidRPr="005053AA">
        <w:t>he cross-reference in</w:t>
      </w:r>
      <w:r w:rsidR="00197434">
        <w:t xml:space="preserve"> clause</w:t>
      </w:r>
      <w:r w:rsidR="005053AA" w:rsidRPr="005053AA">
        <w:t xml:space="preserve"> 38(1)(b)</w:t>
      </w:r>
      <w:r w:rsidR="00474196">
        <w:t xml:space="preserve"> appears to be</w:t>
      </w:r>
      <w:r w:rsidR="005053AA" w:rsidRPr="005053AA">
        <w:t xml:space="preserve"> incorrect, and the rule should be much more limited, with registration only applying to certain activities where monitoring is necessary</w:t>
      </w:r>
      <w:r w:rsidR="00C46E19">
        <w:t xml:space="preserve">. </w:t>
      </w:r>
    </w:p>
    <w:p w14:paraId="02F04002" w14:textId="2C1DBA7C" w:rsidR="00E96519" w:rsidRDefault="00CC15A7" w:rsidP="00E96519">
      <w:pPr>
        <w:pStyle w:val="NumStyle2Lev2"/>
      </w:pPr>
      <w:r>
        <w:t xml:space="preserve">We request the following </w:t>
      </w:r>
      <w:r w:rsidR="00E527EF">
        <w:t>amendments</w:t>
      </w:r>
      <w:r>
        <w:t xml:space="preserve"> to </w:t>
      </w:r>
      <w:r w:rsidR="00EC36F8">
        <w:t>c</w:t>
      </w:r>
      <w:r w:rsidR="00FE2CDC">
        <w:t>lause</w:t>
      </w:r>
      <w:r w:rsidR="00D6600C">
        <w:t xml:space="preserve"> 38:</w:t>
      </w:r>
      <w:r>
        <w:t xml:space="preserve"> </w:t>
      </w:r>
    </w:p>
    <w:p w14:paraId="5131AFB2" w14:textId="77777777" w:rsidR="00E96519" w:rsidRPr="00E96519" w:rsidRDefault="00CC15A7" w:rsidP="00E96519">
      <w:pPr>
        <w:pStyle w:val="NumStyle2Lev3"/>
        <w:numPr>
          <w:ilvl w:val="0"/>
          <w:numId w:val="0"/>
        </w:numPr>
        <w:ind w:left="1134"/>
        <w:rPr>
          <w:i/>
          <w:iCs/>
          <w:color w:val="FF0000"/>
        </w:rPr>
      </w:pPr>
      <w:r w:rsidRPr="00E96519">
        <w:rPr>
          <w:i/>
          <w:iCs/>
        </w:rPr>
        <w:t xml:space="preserve">(1) A permitted activity rule </w:t>
      </w:r>
      <w:r w:rsidRPr="00E96519">
        <w:rPr>
          <w:i/>
          <w:iCs/>
          <w:strike/>
          <w:color w:val="FF0000"/>
        </w:rPr>
        <w:t>must</w:t>
      </w:r>
      <w:r w:rsidRPr="00E96519">
        <w:rPr>
          <w:i/>
          <w:iCs/>
          <w:color w:val="FF0000"/>
        </w:rPr>
        <w:t>-</w:t>
      </w:r>
    </w:p>
    <w:p w14:paraId="2E3DABFA" w14:textId="1F679263" w:rsidR="00E96519" w:rsidRPr="00E96519" w:rsidRDefault="00CC15A7" w:rsidP="00E96519">
      <w:pPr>
        <w:pStyle w:val="NumStyle2Lev3"/>
        <w:numPr>
          <w:ilvl w:val="0"/>
          <w:numId w:val="0"/>
        </w:numPr>
        <w:ind w:left="1134"/>
        <w:rPr>
          <w:i/>
          <w:iCs/>
          <w:color w:val="FF0000"/>
          <w:u w:val="single"/>
        </w:rPr>
      </w:pPr>
      <w:r w:rsidRPr="00E96519">
        <w:rPr>
          <w:i/>
          <w:iCs/>
        </w:rPr>
        <w:tab/>
      </w:r>
      <w:r w:rsidR="00B62558" w:rsidRPr="00E96519">
        <w:rPr>
          <w:i/>
          <w:iCs/>
        </w:rPr>
        <w:t>(a)</w:t>
      </w:r>
      <w:r w:rsidR="00B62558" w:rsidRPr="00E96519">
        <w:rPr>
          <w:i/>
          <w:iCs/>
          <w:color w:val="FF0000"/>
          <w:u w:val="single"/>
        </w:rPr>
        <w:t xml:space="preserve"> must </w:t>
      </w:r>
      <w:r w:rsidR="00B62558" w:rsidRPr="00E96519">
        <w:rPr>
          <w:i/>
          <w:iCs/>
          <w:color w:val="000840" w:themeColor="text1"/>
        </w:rPr>
        <w:t>require an activity to be registered</w:t>
      </w:r>
      <w:r w:rsidR="00B62558" w:rsidRPr="00E96519">
        <w:rPr>
          <w:i/>
          <w:iCs/>
          <w:color w:val="FF0000"/>
          <w:u w:val="single"/>
        </w:rPr>
        <w:t xml:space="preserve"> if required by a national rule;</w:t>
      </w:r>
      <w:r w:rsidR="00B62558" w:rsidRPr="00E96519">
        <w:rPr>
          <w:i/>
          <w:iCs/>
          <w:strike/>
          <w:color w:val="FF0000"/>
        </w:rPr>
        <w:t xml:space="preserve"> or </w:t>
      </w:r>
      <w:r w:rsidR="00B62558" w:rsidRPr="00E96519">
        <w:rPr>
          <w:i/>
          <w:iCs/>
          <w:color w:val="FF0000"/>
          <w:u w:val="single"/>
        </w:rPr>
        <w:t xml:space="preserve">and </w:t>
      </w:r>
    </w:p>
    <w:p w14:paraId="5E207CFB" w14:textId="1960A0BF" w:rsidR="00E96519" w:rsidRDefault="00CC15A7" w:rsidP="00E96519">
      <w:pPr>
        <w:pStyle w:val="NumStyle2Lev3"/>
        <w:numPr>
          <w:ilvl w:val="0"/>
          <w:numId w:val="0"/>
        </w:numPr>
        <w:ind w:left="1440"/>
        <w:rPr>
          <w:i/>
          <w:iCs/>
        </w:rPr>
      </w:pPr>
      <w:r w:rsidRPr="00E96519">
        <w:rPr>
          <w:i/>
          <w:iCs/>
        </w:rPr>
        <w:t xml:space="preserve">(b) </w:t>
      </w:r>
      <w:r w:rsidRPr="00E96519">
        <w:rPr>
          <w:i/>
          <w:iCs/>
          <w:strike/>
          <w:color w:val="FF0000"/>
        </w:rPr>
        <w:t xml:space="preserve">relate to a matter described in </w:t>
      </w:r>
      <w:r w:rsidRPr="00E96519">
        <w:rPr>
          <w:b/>
          <w:bCs/>
          <w:i/>
          <w:iCs/>
          <w:strike/>
          <w:color w:val="FF0000"/>
        </w:rPr>
        <w:t xml:space="preserve">section 151 </w:t>
      </w:r>
      <w:r w:rsidRPr="00E96519">
        <w:rPr>
          <w:i/>
          <w:iCs/>
          <w:strike/>
          <w:color w:val="FF0000"/>
        </w:rPr>
        <w:t xml:space="preserve">or </w:t>
      </w:r>
      <w:r w:rsidRPr="00E96519">
        <w:rPr>
          <w:b/>
          <w:bCs/>
          <w:i/>
          <w:iCs/>
          <w:strike/>
          <w:color w:val="FF0000"/>
        </w:rPr>
        <w:t>Part 1 of Schedule 7</w:t>
      </w:r>
      <w:r w:rsidRPr="00E96519">
        <w:rPr>
          <w:i/>
          <w:iCs/>
          <w:color w:val="FF0000"/>
        </w:rPr>
        <w:t xml:space="preserve"> </w:t>
      </w:r>
      <w:r w:rsidRPr="00E96519">
        <w:rPr>
          <w:i/>
          <w:iCs/>
        </w:rPr>
        <w:t xml:space="preserve">may require an activity to be registered if not precluded by a national rule. </w:t>
      </w:r>
    </w:p>
    <w:p w14:paraId="1C1383A9" w14:textId="3315131D" w:rsidR="00162BCA" w:rsidRPr="00BC241D" w:rsidRDefault="00162BCA" w:rsidP="00162BCA">
      <w:pPr>
        <w:pStyle w:val="NumStyle2Lev3"/>
        <w:numPr>
          <w:ilvl w:val="0"/>
          <w:numId w:val="0"/>
        </w:numPr>
        <w:ind w:left="1440"/>
        <w:rPr>
          <w:i/>
          <w:iCs/>
          <w:color w:val="FF0000"/>
        </w:rPr>
      </w:pPr>
      <w:r w:rsidRPr="00BC241D">
        <w:rPr>
          <w:i/>
          <w:iCs/>
          <w:color w:val="FF0000"/>
        </w:rPr>
        <w:t xml:space="preserve">(c) </w:t>
      </w:r>
      <w:r w:rsidRPr="00BC241D">
        <w:rPr>
          <w:i/>
          <w:iCs/>
          <w:color w:val="FF0000"/>
          <w:u w:val="single"/>
        </w:rPr>
        <w:t>must not require any activity undertaken pursuant to a permitted activity rule to be registered if it is undertaken in order to provide infrastructure.</w:t>
      </w:r>
    </w:p>
    <w:p w14:paraId="67E4D5AD" w14:textId="55B6BA93" w:rsidR="006D05F9" w:rsidRPr="00E96519" w:rsidRDefault="00CC15A7" w:rsidP="00E96519">
      <w:pPr>
        <w:pStyle w:val="NumStyle2Lev3"/>
        <w:numPr>
          <w:ilvl w:val="0"/>
          <w:numId w:val="0"/>
        </w:numPr>
        <w:ind w:left="1134"/>
        <w:rPr>
          <w:i/>
          <w:iCs/>
        </w:rPr>
      </w:pPr>
      <w:r w:rsidRPr="00E96519">
        <w:rPr>
          <w:i/>
          <w:iCs/>
        </w:rPr>
        <w:t xml:space="preserve">(2) A permitted activity rule </w:t>
      </w:r>
      <w:r w:rsidRPr="00E96519">
        <w:rPr>
          <w:i/>
          <w:iCs/>
          <w:strike/>
          <w:color w:val="FF0000"/>
        </w:rPr>
        <w:t xml:space="preserve">referred to in </w:t>
      </w:r>
      <w:r w:rsidRPr="00E96519">
        <w:rPr>
          <w:b/>
          <w:bCs/>
          <w:i/>
          <w:iCs/>
          <w:strike/>
          <w:color w:val="FF0000"/>
        </w:rPr>
        <w:t>subsection (1)(a)</w:t>
      </w:r>
      <w:r w:rsidRPr="00E96519">
        <w:rPr>
          <w:i/>
          <w:iCs/>
          <w:color w:val="FF0000"/>
        </w:rPr>
        <w:t xml:space="preserve"> </w:t>
      </w:r>
      <w:r w:rsidRPr="00E96519">
        <w:rPr>
          <w:i/>
          <w:iCs/>
          <w:color w:val="FF0000"/>
          <w:u w:val="single"/>
        </w:rPr>
        <w:t>that is required to be registered</w:t>
      </w:r>
      <w:r w:rsidRPr="00E96519">
        <w:rPr>
          <w:i/>
          <w:iCs/>
          <w:color w:val="FF0000"/>
        </w:rPr>
        <w:t xml:space="preserve"> </w:t>
      </w:r>
      <w:r w:rsidRPr="00E96519">
        <w:rPr>
          <w:i/>
          <w:iCs/>
        </w:rPr>
        <w:t xml:space="preserve">must provide that an activity is a permitted activity only if […] </w:t>
      </w:r>
    </w:p>
    <w:p w14:paraId="29A83AA9" w14:textId="21054693" w:rsidR="00C02E70" w:rsidRDefault="00CC15A7" w:rsidP="00BC4DAA">
      <w:pPr>
        <w:pStyle w:val="NumStyle2Lev2"/>
        <w:numPr>
          <w:ilvl w:val="0"/>
          <w:numId w:val="0"/>
        </w:numPr>
        <w:ind w:left="567" w:hanging="567"/>
        <w:rPr>
          <w:i/>
          <w:iCs/>
        </w:rPr>
      </w:pPr>
      <w:r>
        <w:rPr>
          <w:i/>
          <w:iCs/>
        </w:rPr>
        <w:t>Consent processing timeframes:</w:t>
      </w:r>
    </w:p>
    <w:p w14:paraId="257B11C6" w14:textId="599EDA8A" w:rsidR="00754C4C" w:rsidRDefault="00CC15A7" w:rsidP="00C02E70">
      <w:pPr>
        <w:pStyle w:val="NumStyle2Lev2"/>
      </w:pPr>
      <w:r>
        <w:t>Whilst we appreciate t</w:t>
      </w:r>
      <w:r w:rsidR="00695E65">
        <w:t xml:space="preserve">he intention of the new system is to </w:t>
      </w:r>
      <w:r w:rsidR="00986942">
        <w:t>increase permissibility and therefore reduce the scope of activities requiring consent to more substantive matters, we are concerned about the framing and proposed maximum duration</w:t>
      </w:r>
      <w:r w:rsidR="00453C85">
        <w:t>s</w:t>
      </w:r>
      <w:r w:rsidR="00986942">
        <w:t xml:space="preserve"> of consents</w:t>
      </w:r>
      <w:r w:rsidR="00754D91">
        <w:t xml:space="preserve"> as follows</w:t>
      </w:r>
      <w:r>
        <w:t>:</w:t>
      </w:r>
    </w:p>
    <w:p w14:paraId="36ACD743" w14:textId="3E32B361" w:rsidR="002A7008" w:rsidRDefault="00CC15A7" w:rsidP="00754C4C">
      <w:pPr>
        <w:pStyle w:val="NumStyle2Lev3"/>
      </w:pPr>
      <w:r>
        <w:t>The change from 20 working days to 45 working days</w:t>
      </w:r>
      <w:r w:rsidR="003A562C">
        <w:t xml:space="preserve"> for non-notified consents in </w:t>
      </w:r>
      <w:r w:rsidR="00625C02">
        <w:t xml:space="preserve">clause </w:t>
      </w:r>
      <w:r w:rsidR="003A562C">
        <w:t>117(3)</w:t>
      </w:r>
      <w:r>
        <w:t xml:space="preserve"> for the processing of planning consents </w:t>
      </w:r>
      <w:r w:rsidR="00380CB1">
        <w:t xml:space="preserve">has the potential to act as a ‘target’ instead of an absolute maximum. This may lead to </w:t>
      </w:r>
      <w:r>
        <w:t xml:space="preserve">electricity </w:t>
      </w:r>
      <w:r w:rsidR="007C3439">
        <w:t xml:space="preserve">consents that are currently processed within 20 working days (should they not be </w:t>
      </w:r>
      <w:r>
        <w:t>otherwise enabled via national direction) being extended to 45 working days arbitrarily.</w:t>
      </w:r>
    </w:p>
    <w:p w14:paraId="13966BDA" w14:textId="74F3FE12" w:rsidR="00F754F3" w:rsidRDefault="00E30942" w:rsidP="00F754F3">
      <w:pPr>
        <w:pStyle w:val="NumStyle2Lev3"/>
      </w:pPr>
      <w:r>
        <w:t xml:space="preserve">Clause </w:t>
      </w:r>
      <w:r w:rsidR="00CC15A7">
        <w:t>118</w:t>
      </w:r>
      <w:r w:rsidR="00B646FE">
        <w:t>(1)</w:t>
      </w:r>
      <w:r w:rsidR="00CC15A7">
        <w:t xml:space="preserve"> appears, without qualification, </w:t>
      </w:r>
      <w:r w:rsidR="00754D91">
        <w:t xml:space="preserve">to </w:t>
      </w:r>
      <w:r w:rsidR="008B1F37">
        <w:t>establish a timeframe for applications for specified</w:t>
      </w:r>
      <w:r w:rsidR="00453C85">
        <w:t xml:space="preserve"> energy activities</w:t>
      </w:r>
      <w:r w:rsidR="004059BC">
        <w:t xml:space="preserve"> (which include </w:t>
      </w:r>
      <w:r w:rsidR="004E65BE">
        <w:t>“</w:t>
      </w:r>
      <w:r w:rsidR="004E65BE" w:rsidRPr="004E65BE">
        <w:t>any part of the electricity network</w:t>
      </w:r>
      <w:r w:rsidR="004E65BE">
        <w:t>”)</w:t>
      </w:r>
      <w:r w:rsidR="00453C85">
        <w:t xml:space="preserve"> to be </w:t>
      </w:r>
      <w:r w:rsidR="008B1F37" w:rsidRPr="00453C85">
        <w:t>“processed and decided”</w:t>
      </w:r>
      <w:r w:rsidR="004E65BE">
        <w:t xml:space="preserve"> within</w:t>
      </w:r>
      <w:r w:rsidR="000A1859">
        <w:t xml:space="preserve"> one year</w:t>
      </w:r>
      <w:r w:rsidR="00754D91">
        <w:t>. We understand that the intention of this clause is to</w:t>
      </w:r>
      <w:r w:rsidR="004059BC">
        <w:t xml:space="preserve"> ensure complex application</w:t>
      </w:r>
      <w:r w:rsidR="000A1859">
        <w:t>s</w:t>
      </w:r>
      <w:r w:rsidR="004059BC">
        <w:t xml:space="preserve"> </w:t>
      </w:r>
      <w:r w:rsidR="000A1859">
        <w:t xml:space="preserve">have </w:t>
      </w:r>
      <w:r w:rsidR="00E25DD2">
        <w:t xml:space="preserve">greater certainty about </w:t>
      </w:r>
      <w:r w:rsidR="00794F97">
        <w:t xml:space="preserve">maximum </w:t>
      </w:r>
      <w:r w:rsidR="002374AC">
        <w:t xml:space="preserve">processing </w:t>
      </w:r>
      <w:r w:rsidR="00E25DD2">
        <w:t>duration</w:t>
      </w:r>
      <w:r w:rsidR="000A1859">
        <w:t>, however the framing leaves this open for interpretation</w:t>
      </w:r>
      <w:r w:rsidR="00203239">
        <w:t xml:space="preserve"> and could be read to expand the processing timeframe</w:t>
      </w:r>
      <w:r w:rsidR="002374AC">
        <w:t xml:space="preserve"> limit</w:t>
      </w:r>
      <w:r w:rsidR="00203239">
        <w:t xml:space="preserve"> beyond 40 working days</w:t>
      </w:r>
      <w:r w:rsidR="009D4A09">
        <w:t>.</w:t>
      </w:r>
      <w:r w:rsidR="002374AC">
        <w:t xml:space="preserve"> Once lodged</w:t>
      </w:r>
      <w:r w:rsidR="009069A1">
        <w:t>, we typically don’t expect consent</w:t>
      </w:r>
      <w:r>
        <w:t xml:space="preserve"> processing timeframes</w:t>
      </w:r>
      <w:r w:rsidR="009069A1">
        <w:t xml:space="preserve"> to exceed three months. </w:t>
      </w:r>
      <w:r w:rsidR="00CC15A7">
        <w:t xml:space="preserve"> </w:t>
      </w:r>
    </w:p>
    <w:p w14:paraId="58687BEF" w14:textId="6A23A4C3" w:rsidR="00C02E70" w:rsidRDefault="00E249B1" w:rsidP="00961601">
      <w:pPr>
        <w:pStyle w:val="NumStyle2Lev2"/>
      </w:pPr>
      <w:r>
        <w:t>To address this</w:t>
      </w:r>
      <w:r w:rsidR="000D2D22">
        <w:t xml:space="preserve"> </w:t>
      </w:r>
      <w:r w:rsidR="00B549D4">
        <w:t>uncertainty,</w:t>
      </w:r>
      <w:r>
        <w:t xml:space="preserve"> we recommend that provision is made </w:t>
      </w:r>
      <w:r w:rsidR="000D2D22">
        <w:t xml:space="preserve">in the development of natural instruments to </w:t>
      </w:r>
      <w:r w:rsidR="00D601F0">
        <w:t xml:space="preserve">set </w:t>
      </w:r>
      <w:r w:rsidR="00B549D4">
        <w:t>specified maximum</w:t>
      </w:r>
      <w:r w:rsidR="00D601F0">
        <w:t xml:space="preserve"> timeframes for particular activities</w:t>
      </w:r>
      <w:r w:rsidR="00B549D4">
        <w:t xml:space="preserve"> where appropriate</w:t>
      </w:r>
      <w:r w:rsidR="00D601F0">
        <w:t xml:space="preserve">. </w:t>
      </w:r>
      <w:r w:rsidR="00B549D4">
        <w:t>Accordingly, we</w:t>
      </w:r>
      <w:r w:rsidR="00CC15A7">
        <w:t xml:space="preserve"> recommend </w:t>
      </w:r>
      <w:r w:rsidR="00946B1E">
        <w:t xml:space="preserve">the following amendment to clause </w:t>
      </w:r>
      <w:r w:rsidR="00946B1E" w:rsidRPr="00946B1E">
        <w:t>117(1)(b)</w:t>
      </w:r>
      <w:r w:rsidR="007676DB">
        <w:t>:</w:t>
      </w:r>
    </w:p>
    <w:p w14:paraId="76127115" w14:textId="77777777" w:rsidR="0046497F" w:rsidRPr="00BA34C5" w:rsidRDefault="0046497F" w:rsidP="00BC241D">
      <w:pPr>
        <w:pStyle w:val="NumStyle2Lev3"/>
        <w:numPr>
          <w:ilvl w:val="0"/>
          <w:numId w:val="0"/>
        </w:numPr>
        <w:ind w:left="1134"/>
        <w:rPr>
          <w:i/>
          <w:iCs/>
        </w:rPr>
      </w:pPr>
      <w:r w:rsidRPr="00BA34C5">
        <w:rPr>
          <w:i/>
          <w:iCs/>
        </w:rPr>
        <w:t>(1) The maximum processing time frames for applications for planning consents</w:t>
      </w:r>
      <w:r w:rsidRPr="00BA34C5">
        <w:rPr>
          <w:rFonts w:hint="eastAsia"/>
          <w:i/>
          <w:iCs/>
        </w:rPr>
        <w:t>—</w:t>
      </w:r>
    </w:p>
    <w:p w14:paraId="705B7651" w14:textId="7F5CA9DC" w:rsidR="0046497F" w:rsidRPr="00BA34C5" w:rsidRDefault="000A31F5" w:rsidP="0046497F">
      <w:pPr>
        <w:pStyle w:val="NumStyle2Lev3"/>
        <w:numPr>
          <w:ilvl w:val="0"/>
          <w:numId w:val="0"/>
        </w:numPr>
        <w:ind w:left="1134"/>
        <w:rPr>
          <w:i/>
          <w:iCs/>
        </w:rPr>
      </w:pPr>
      <w:r w:rsidRPr="00BA34C5">
        <w:rPr>
          <w:i/>
          <w:iCs/>
        </w:rPr>
        <w:tab/>
      </w:r>
      <w:r w:rsidR="0046497F" w:rsidRPr="00BA34C5">
        <w:rPr>
          <w:i/>
          <w:iCs/>
        </w:rPr>
        <w:t>(a) are set out in the table in subsection (3); and</w:t>
      </w:r>
    </w:p>
    <w:p w14:paraId="75A6B02D" w14:textId="1453C460" w:rsidR="0046497F" w:rsidRPr="00BA34C5" w:rsidRDefault="000A31F5" w:rsidP="00BC241D">
      <w:pPr>
        <w:pStyle w:val="NumStyle2Lev3"/>
        <w:numPr>
          <w:ilvl w:val="0"/>
          <w:numId w:val="0"/>
        </w:numPr>
        <w:ind w:left="1134"/>
        <w:rPr>
          <w:i/>
          <w:iCs/>
        </w:rPr>
      </w:pPr>
      <w:r w:rsidRPr="00BA34C5">
        <w:rPr>
          <w:rFonts w:eastAsia="TimesNewRomanPSMT"/>
          <w:i/>
          <w:iCs/>
        </w:rPr>
        <w:tab/>
      </w:r>
      <w:r w:rsidR="0046497F" w:rsidRPr="00BA34C5">
        <w:rPr>
          <w:rFonts w:eastAsia="TimesNewRomanPSMT"/>
          <w:i/>
          <w:iCs/>
        </w:rPr>
        <w:t>(b) are subject to</w:t>
      </w:r>
      <w:r w:rsidR="0046497F" w:rsidRPr="00BA34C5">
        <w:rPr>
          <w:rFonts w:eastAsia="TimesNewRomanPSMT" w:hint="eastAsia"/>
          <w:i/>
          <w:iCs/>
        </w:rPr>
        <w:t>—</w:t>
      </w:r>
    </w:p>
    <w:p w14:paraId="16C1A2A4" w14:textId="260855DB" w:rsidR="0046497F" w:rsidRPr="00BA34C5" w:rsidRDefault="0046497F" w:rsidP="00BC241D">
      <w:pPr>
        <w:pStyle w:val="NumStyle2Lev3"/>
        <w:numPr>
          <w:ilvl w:val="0"/>
          <w:numId w:val="0"/>
        </w:numPr>
        <w:ind w:left="1134"/>
        <w:rPr>
          <w:rFonts w:eastAsia="TimesNewRomanPSMT"/>
          <w:i/>
          <w:iCs/>
        </w:rPr>
      </w:pPr>
      <w:r w:rsidRPr="00BA34C5">
        <w:rPr>
          <w:rFonts w:eastAsia="TimesNewRomanPSMT"/>
          <w:i/>
          <w:iCs/>
        </w:rPr>
        <w:lastRenderedPageBreak/>
        <w:tab/>
      </w:r>
      <w:r w:rsidR="000A31F5" w:rsidRPr="00BA34C5">
        <w:rPr>
          <w:rFonts w:eastAsia="TimesNewRomanPSMT"/>
          <w:i/>
          <w:iCs/>
        </w:rPr>
        <w:tab/>
      </w:r>
      <w:r w:rsidRPr="00BA34C5">
        <w:rPr>
          <w:rFonts w:eastAsia="TimesNewRomanPSMT"/>
          <w:i/>
          <w:iCs/>
        </w:rPr>
        <w:t>(</w:t>
      </w:r>
      <w:proofErr w:type="spellStart"/>
      <w:r w:rsidRPr="00BA34C5">
        <w:rPr>
          <w:rFonts w:eastAsia="TimesNewRomanPSMT"/>
          <w:i/>
          <w:iCs/>
        </w:rPr>
        <w:t>i</w:t>
      </w:r>
      <w:proofErr w:type="spellEnd"/>
      <w:r w:rsidRPr="00BA34C5">
        <w:rPr>
          <w:rFonts w:eastAsia="TimesNewRomanPSMT"/>
          <w:i/>
          <w:iCs/>
        </w:rPr>
        <w:t>) other provisions of this Act; and</w:t>
      </w:r>
    </w:p>
    <w:p w14:paraId="2B3238F5" w14:textId="15E15600" w:rsidR="00227575" w:rsidRPr="00BA34C5" w:rsidRDefault="0046497F" w:rsidP="00BC241D">
      <w:pPr>
        <w:pStyle w:val="NumStyle2Lev3"/>
        <w:numPr>
          <w:ilvl w:val="0"/>
          <w:numId w:val="0"/>
        </w:numPr>
        <w:ind w:left="2160"/>
        <w:rPr>
          <w:rFonts w:eastAsia="TimesNewRomanPSMT"/>
          <w:i/>
          <w:iCs/>
        </w:rPr>
      </w:pPr>
      <w:r w:rsidRPr="00BA34C5">
        <w:rPr>
          <w:rFonts w:eastAsia="TimesNewRomanPSMT"/>
          <w:i/>
          <w:iCs/>
        </w:rPr>
        <w:t xml:space="preserve">(ii) any time frames and excluded time periods prescribed by regulations made under </w:t>
      </w:r>
      <w:r w:rsidRPr="00BA34C5">
        <w:rPr>
          <w:rFonts w:ascii="Arial-Black" w:eastAsia="TimesNewRomanPSMT" w:hAnsi="Arial-Black" w:cs="Arial-Black"/>
          <w:i/>
          <w:iCs/>
          <w:sz w:val="20"/>
          <w:szCs w:val="20"/>
        </w:rPr>
        <w:t>section 282</w:t>
      </w:r>
      <w:r w:rsidRPr="00BA34C5">
        <w:rPr>
          <w:rFonts w:eastAsia="TimesNewRomanPSMT"/>
          <w:i/>
          <w:iCs/>
        </w:rPr>
        <w:t>.</w:t>
      </w:r>
    </w:p>
    <w:p w14:paraId="08EB5E5A" w14:textId="5A14CE90" w:rsidR="00BC241D" w:rsidRPr="00BA34C5" w:rsidRDefault="00BC241D" w:rsidP="00BC241D">
      <w:pPr>
        <w:pStyle w:val="NumStyle2Lev3"/>
        <w:numPr>
          <w:ilvl w:val="0"/>
          <w:numId w:val="0"/>
        </w:numPr>
        <w:ind w:left="2160" w:hanging="567"/>
        <w:rPr>
          <w:rFonts w:eastAsia="TimesNewRomanPSMT"/>
          <w:i/>
          <w:iCs/>
          <w:color w:val="FF0000"/>
          <w:u w:val="single"/>
        </w:rPr>
      </w:pPr>
      <w:r w:rsidRPr="00BA34C5">
        <w:rPr>
          <w:rFonts w:eastAsia="TimesNewRomanPSMT"/>
          <w:i/>
          <w:iCs/>
          <w:color w:val="FF0000"/>
        </w:rPr>
        <w:tab/>
      </w:r>
      <w:r w:rsidRPr="00BA34C5">
        <w:rPr>
          <w:rFonts w:eastAsia="TimesNewRomanPSMT"/>
          <w:i/>
          <w:iCs/>
          <w:color w:val="FF0000"/>
          <w:u w:val="single"/>
        </w:rPr>
        <w:t>(iii) any maximum timeframes for applications for particular activities set out in national instruments.</w:t>
      </w:r>
    </w:p>
    <w:p w14:paraId="325B239A" w14:textId="413EA552" w:rsidR="00BC4DAA" w:rsidRPr="00AA5810" w:rsidRDefault="00CC15A7" w:rsidP="00BC4DAA">
      <w:pPr>
        <w:pStyle w:val="NumStyle2Lev2"/>
        <w:numPr>
          <w:ilvl w:val="0"/>
          <w:numId w:val="0"/>
        </w:numPr>
        <w:ind w:left="567" w:hanging="567"/>
        <w:rPr>
          <w:i/>
          <w:iCs/>
        </w:rPr>
      </w:pPr>
      <w:r w:rsidRPr="00AA5810">
        <w:rPr>
          <w:i/>
          <w:iCs/>
        </w:rPr>
        <w:t>Planning Tribunal</w:t>
      </w:r>
    </w:p>
    <w:p w14:paraId="69C06988" w14:textId="77777777" w:rsidR="00C32881" w:rsidRDefault="00CC15A7" w:rsidP="00AA5810">
      <w:pPr>
        <w:pStyle w:val="NumStyle2Lev2"/>
      </w:pPr>
      <w:r w:rsidRPr="00AA5810">
        <w:t>We s</w:t>
      </w:r>
      <w:r>
        <w:t xml:space="preserve">upport the </w:t>
      </w:r>
      <w:r w:rsidR="00F258A5">
        <w:t>establishment</w:t>
      </w:r>
      <w:r w:rsidR="002A76D2">
        <w:t xml:space="preserve"> of the planning tribunal </w:t>
      </w:r>
      <w:r w:rsidR="00C928C9">
        <w:t>and expect that this function will</w:t>
      </w:r>
      <w:r w:rsidR="0040495F">
        <w:t xml:space="preserve"> deliver consistency in implementation of both national </w:t>
      </w:r>
      <w:r w:rsidR="00806C83">
        <w:t xml:space="preserve">and local planning </w:t>
      </w:r>
      <w:r w:rsidR="0040495F">
        <w:t>standards</w:t>
      </w:r>
      <w:r w:rsidR="00806C83">
        <w:t xml:space="preserve">, and improve planning practice, including </w:t>
      </w:r>
      <w:r w:rsidR="00CF3704">
        <w:t xml:space="preserve">reviewing the scope of requests for information and the appropriateness of conditions. We recommend that the tribunal is administered in a centralised, nationally consistent model to ensure that national direction instruments are consistently applied </w:t>
      </w:r>
      <w:r>
        <w:t>regardless of locality.</w:t>
      </w:r>
    </w:p>
    <w:p w14:paraId="500173D2" w14:textId="7F6F0074" w:rsidR="00846BAD" w:rsidRDefault="00CC15A7" w:rsidP="009111CB">
      <w:pPr>
        <w:pStyle w:val="NumStyle2Lev2"/>
      </w:pPr>
      <w:r>
        <w:t xml:space="preserve">In a significant </w:t>
      </w:r>
      <w:r w:rsidR="00450131">
        <w:t xml:space="preserve">departure to the previous judicial review process under the RMA, the planning tribunal will accept </w:t>
      </w:r>
      <w:r w:rsidR="00F27D1B">
        <w:t>applications from third parties to review notification decisions</w:t>
      </w:r>
      <w:r w:rsidR="00450131">
        <w:t xml:space="preserve"> which would previously </w:t>
      </w:r>
      <w:r w:rsidR="47FE2167">
        <w:t xml:space="preserve">have </w:t>
      </w:r>
      <w:r w:rsidR="00450131">
        <w:t>be</w:t>
      </w:r>
      <w:r w:rsidR="4D2DB453">
        <w:t>en</w:t>
      </w:r>
      <w:r w:rsidR="00450131">
        <w:t xml:space="preserve"> directed to the </w:t>
      </w:r>
      <w:r w:rsidR="00EF2881">
        <w:t>High Court</w:t>
      </w:r>
      <w:r w:rsidR="003B29BA">
        <w:t xml:space="preserve">, which may </w:t>
      </w:r>
      <w:r w:rsidR="006C4A7B">
        <w:t xml:space="preserve">result in </w:t>
      </w:r>
      <w:r w:rsidR="003B29BA">
        <w:t xml:space="preserve">third parties challenging notification decisions </w:t>
      </w:r>
      <w:r w:rsidR="00DD05A2">
        <w:t xml:space="preserve">on electricity network operator consent applications </w:t>
      </w:r>
      <w:r w:rsidR="0043698A">
        <w:t>through the Planning Tribunal</w:t>
      </w:r>
      <w:r w:rsidR="00DD05A2">
        <w:t>.</w:t>
      </w:r>
      <w:r w:rsidR="009A5687">
        <w:t xml:space="preserve"> </w:t>
      </w:r>
      <w:r w:rsidR="009C17F2">
        <w:t xml:space="preserve">The provisions </w:t>
      </w:r>
      <w:r w:rsidR="00DD05A2">
        <w:t>for review of notification</w:t>
      </w:r>
      <w:r w:rsidR="00587F64">
        <w:t xml:space="preserve"> decisions</w:t>
      </w:r>
      <w:r w:rsidR="00DD05A2">
        <w:t xml:space="preserve"> </w:t>
      </w:r>
      <w:r w:rsidR="009C17F2">
        <w:t xml:space="preserve">use the term "applicant" to refer to </w:t>
      </w:r>
      <w:r w:rsidR="00587F64">
        <w:t xml:space="preserve">both the </w:t>
      </w:r>
      <w:r w:rsidR="00DD05A2">
        <w:t>party seeking the review</w:t>
      </w:r>
      <w:r w:rsidR="00587F64">
        <w:t xml:space="preserve"> and the party making the application for consent. </w:t>
      </w:r>
      <w:r w:rsidR="00B10A3A">
        <w:t>It is unclear whether this clause</w:t>
      </w:r>
      <w:r w:rsidR="006C106C">
        <w:t>, in addition to third parties</w:t>
      </w:r>
      <w:r w:rsidR="00D31F61">
        <w:t>,</w:t>
      </w:r>
      <w:r w:rsidR="00B10A3A">
        <w:t xml:space="preserve"> enables the party that applied for a consent / permit to go to the Planning Tribunal to review a notification decision, which is the presumed intention</w:t>
      </w:r>
      <w:r>
        <w:t>.</w:t>
      </w:r>
    </w:p>
    <w:p w14:paraId="14C6BB25" w14:textId="0D32AB0C" w:rsidR="00846BAD" w:rsidRDefault="00CC15A7" w:rsidP="00576798">
      <w:pPr>
        <w:pStyle w:val="NumStyle2Lev2"/>
      </w:pPr>
      <w:r>
        <w:t>Additionally</w:t>
      </w:r>
      <w:r w:rsidR="00D72CE5">
        <w:t xml:space="preserve">, if a third party applies for a review of a notification decision this will be on the basis that they </w:t>
      </w:r>
      <w:r w:rsidR="00A4185C">
        <w:t xml:space="preserve">object to not being </w:t>
      </w:r>
      <w:r w:rsidR="00E27933">
        <w:t xml:space="preserve">“targeted </w:t>
      </w:r>
      <w:r w:rsidR="00A4185C">
        <w:t>notified</w:t>
      </w:r>
      <w:r w:rsidR="00E27933">
        <w:t xml:space="preserve">” through the </w:t>
      </w:r>
      <w:r w:rsidR="00BA17FA">
        <w:t xml:space="preserve">consent </w:t>
      </w:r>
      <w:r w:rsidR="00E27933">
        <w:t xml:space="preserve">process and therefore would not have been formally notified of the </w:t>
      </w:r>
      <w:r w:rsidR="00A4185C">
        <w:t>substantive con</w:t>
      </w:r>
      <w:r>
        <w:t>sent / permit decision</w:t>
      </w:r>
      <w:r w:rsidR="00E27933">
        <w:t>s. Clarity is therefore needed</w:t>
      </w:r>
      <w:r>
        <w:t xml:space="preserve"> so the </w:t>
      </w:r>
      <w:r w:rsidR="00BA17FA">
        <w:t>25-day</w:t>
      </w:r>
      <w:r>
        <w:t xml:space="preserve"> period begin</w:t>
      </w:r>
      <w:r w:rsidR="00BA17FA">
        <w:t>s</w:t>
      </w:r>
      <w:r>
        <w:t xml:space="preserve"> from when the substantive decision is notified to </w:t>
      </w:r>
      <w:r w:rsidRPr="00BA17FA">
        <w:rPr>
          <w:i/>
          <w:iCs/>
        </w:rPr>
        <w:t>the party seeking the consent / permit</w:t>
      </w:r>
      <w:r>
        <w:t xml:space="preserve">.  </w:t>
      </w:r>
      <w:r w:rsidR="00576798">
        <w:t xml:space="preserve">We recommend the following amendment to </w:t>
      </w:r>
      <w:r w:rsidR="00EC36F8">
        <w:t>clause</w:t>
      </w:r>
      <w:r w:rsidR="00576798">
        <w:t xml:space="preserve"> 16 of schedule 10:</w:t>
      </w:r>
    </w:p>
    <w:p w14:paraId="7437F33B" w14:textId="77777777" w:rsidR="00BB3455" w:rsidRPr="00BB3455" w:rsidRDefault="00CC15A7" w:rsidP="00BB3455">
      <w:pPr>
        <w:pStyle w:val="NumStyle2Lev3"/>
        <w:numPr>
          <w:ilvl w:val="0"/>
          <w:numId w:val="0"/>
        </w:numPr>
        <w:ind w:left="1134"/>
        <w:rPr>
          <w:i/>
          <w:iCs/>
        </w:rPr>
      </w:pPr>
      <w:r w:rsidRPr="00BB3455">
        <w:rPr>
          <w:i/>
          <w:iCs/>
        </w:rPr>
        <w:t>(1) […]</w:t>
      </w:r>
    </w:p>
    <w:p w14:paraId="0C7B306C" w14:textId="45CD7831" w:rsidR="007401ED" w:rsidRPr="0050138B" w:rsidRDefault="00CC15A7" w:rsidP="0050138B">
      <w:pPr>
        <w:pStyle w:val="NumStyle2Lev3"/>
        <w:numPr>
          <w:ilvl w:val="0"/>
          <w:numId w:val="0"/>
        </w:numPr>
        <w:ind w:left="1134"/>
        <w:rPr>
          <w:i/>
          <w:iCs/>
        </w:rPr>
      </w:pPr>
      <w:r w:rsidRPr="00BB3455">
        <w:rPr>
          <w:i/>
          <w:iCs/>
        </w:rPr>
        <w:t xml:space="preserve">If the permit or consent application or an application for a proposed designation was not publicly notified, any application for review must be filed within 25 working days after the substantive decision on the application is notified to </w:t>
      </w:r>
      <w:r w:rsidRPr="00BB3455">
        <w:rPr>
          <w:i/>
          <w:iCs/>
          <w:strike/>
          <w:color w:val="FF0000"/>
        </w:rPr>
        <w:t>the applicant</w:t>
      </w:r>
      <w:r w:rsidRPr="00BB3455">
        <w:rPr>
          <w:i/>
          <w:iCs/>
          <w:color w:val="FF0000"/>
        </w:rPr>
        <w:t xml:space="preserve"> </w:t>
      </w:r>
      <w:r w:rsidRPr="00BB3455">
        <w:rPr>
          <w:i/>
          <w:iCs/>
          <w:color w:val="FF0000"/>
          <w:u w:val="single"/>
        </w:rPr>
        <w:t>the person seeking a consent, permit, or designation</w:t>
      </w:r>
      <w:r w:rsidRPr="00BB3455">
        <w:rPr>
          <w:i/>
          <w:iCs/>
          <w:color w:val="FF0000"/>
        </w:rPr>
        <w:t xml:space="preserve"> </w:t>
      </w:r>
    </w:p>
    <w:p w14:paraId="7A437C58" w14:textId="0BD4D687" w:rsidR="00523858" w:rsidRPr="00270B10" w:rsidRDefault="00CC15A7" w:rsidP="00856EDE">
      <w:pPr>
        <w:rPr>
          <w:i/>
          <w:iCs/>
        </w:rPr>
      </w:pPr>
      <w:r w:rsidRPr="00270B10">
        <w:rPr>
          <w:i/>
          <w:iCs/>
        </w:rPr>
        <w:t>Designations</w:t>
      </w:r>
      <w:r w:rsidR="00A47864" w:rsidRPr="00270B10">
        <w:rPr>
          <w:i/>
          <w:iCs/>
        </w:rPr>
        <w:t xml:space="preserve"> </w:t>
      </w:r>
    </w:p>
    <w:p w14:paraId="2B2E21F2" w14:textId="77777777" w:rsidR="00523858" w:rsidRDefault="00523858" w:rsidP="00856EDE">
      <w:pPr>
        <w:rPr>
          <w:b/>
          <w:bCs/>
        </w:rPr>
      </w:pPr>
    </w:p>
    <w:p w14:paraId="519954A4" w14:textId="6BDF0DF7" w:rsidR="00E727F8" w:rsidRDefault="00CC15A7" w:rsidP="00856EDE">
      <w:pPr>
        <w:pStyle w:val="NumStyle2Lev2"/>
      </w:pPr>
      <w:r>
        <w:t xml:space="preserve">We generally support the continuation of a similar structure and administrative process </w:t>
      </w:r>
      <w:r w:rsidR="00A47864">
        <w:t xml:space="preserve">for </w:t>
      </w:r>
      <w:r w:rsidR="00C46EC4">
        <w:t>designating land, with some clarifications and amendments required to ensure tha</w:t>
      </w:r>
      <w:r w:rsidR="002F4B2A">
        <w:t>t</w:t>
      </w:r>
      <w:r w:rsidR="00C46EC4">
        <w:t xml:space="preserve"> the system is efficient and proportionate. </w:t>
      </w:r>
    </w:p>
    <w:p w14:paraId="432FB65A" w14:textId="4C34F796" w:rsidR="00343745" w:rsidRDefault="00CC15A7" w:rsidP="00961601">
      <w:pPr>
        <w:pStyle w:val="NumStyle2Lev2"/>
      </w:pPr>
      <w:r>
        <w:t>Under the new system, designating authorities will be required to prove there is a "strategic need" to secure a designation.  There is a potential disconnect between requiring designating authorities to demonstrate this (and allow it to be tested</w:t>
      </w:r>
      <w:r w:rsidR="009A3221">
        <w:t>)</w:t>
      </w:r>
      <w:r>
        <w:t xml:space="preserve"> while elsewhere expressly excluding demand for a project from being in scope of the new system.</w:t>
      </w:r>
      <w:r>
        <w:rPr>
          <w:rStyle w:val="FootnoteReference"/>
        </w:rPr>
        <w:footnoteReference w:id="5"/>
      </w:r>
      <w:r>
        <w:t xml:space="preserve"> Works undertaken in the road corridor should not need to demonstrate a strategic need because of the inherent benefits with undertaking additional work in the road corridor rather than elsewhere and the </w:t>
      </w:r>
      <w:r>
        <w:lastRenderedPageBreak/>
        <w:t xml:space="preserve">anticipated location of network utility assets in the road as a shared utility corridor. We recommend the following </w:t>
      </w:r>
      <w:r w:rsidR="00947D5E">
        <w:t>addition</w:t>
      </w:r>
      <w:r>
        <w:t xml:space="preserve"> to </w:t>
      </w:r>
      <w:r w:rsidR="00EC36F8">
        <w:t>clause</w:t>
      </w:r>
      <w:r w:rsidR="00947D5E">
        <w:t xml:space="preserve"> 13(4) of Schedule 5</w:t>
      </w:r>
      <w:r>
        <w:t>:</w:t>
      </w:r>
    </w:p>
    <w:p w14:paraId="2124F39D" w14:textId="77777777" w:rsidR="00343745" w:rsidRPr="00947D5E" w:rsidRDefault="00CC15A7" w:rsidP="00947D5E">
      <w:pPr>
        <w:pStyle w:val="NumStyle2Lev3"/>
        <w:numPr>
          <w:ilvl w:val="0"/>
          <w:numId w:val="0"/>
        </w:numPr>
        <w:ind w:left="1134"/>
        <w:rPr>
          <w:i/>
          <w:iCs/>
        </w:rPr>
      </w:pPr>
      <w:r w:rsidRPr="00947D5E">
        <w:rPr>
          <w:i/>
          <w:iCs/>
        </w:rPr>
        <w:t>(4) However, an assessment of strategic need under subclause (2)(e) is not required</w:t>
      </w:r>
    </w:p>
    <w:p w14:paraId="21A2A122" w14:textId="77777777" w:rsidR="00343745" w:rsidRPr="00947D5E" w:rsidRDefault="00CC15A7" w:rsidP="00947D5E">
      <w:pPr>
        <w:pStyle w:val="NumStyle2Lev3"/>
        <w:numPr>
          <w:ilvl w:val="0"/>
          <w:numId w:val="0"/>
        </w:numPr>
        <w:ind w:left="1134"/>
        <w:rPr>
          <w:i/>
          <w:iCs/>
        </w:rPr>
      </w:pPr>
      <w:r w:rsidRPr="00947D5E">
        <w:rPr>
          <w:i/>
          <w:iCs/>
        </w:rPr>
        <w:t>if-</w:t>
      </w:r>
    </w:p>
    <w:p w14:paraId="770C59AF" w14:textId="77777777" w:rsidR="00343745" w:rsidRPr="00947D5E" w:rsidRDefault="00CC15A7" w:rsidP="00947D5E">
      <w:pPr>
        <w:pStyle w:val="NumStyle2Lev3"/>
        <w:numPr>
          <w:ilvl w:val="0"/>
          <w:numId w:val="0"/>
        </w:numPr>
        <w:ind w:left="1134"/>
        <w:rPr>
          <w:i/>
          <w:iCs/>
        </w:rPr>
      </w:pPr>
      <w:r w:rsidRPr="00947D5E">
        <w:rPr>
          <w:i/>
          <w:iCs/>
        </w:rPr>
        <w:t>[…]</w:t>
      </w:r>
    </w:p>
    <w:p w14:paraId="50376FE0" w14:textId="2FD98197" w:rsidR="00771180" w:rsidRPr="00961601" w:rsidRDefault="00CC15A7" w:rsidP="00961601">
      <w:pPr>
        <w:pStyle w:val="NumStyle2Lev3"/>
        <w:numPr>
          <w:ilvl w:val="0"/>
          <w:numId w:val="0"/>
        </w:numPr>
        <w:ind w:left="1134"/>
        <w:rPr>
          <w:i/>
          <w:iCs/>
          <w:color w:val="FF0000"/>
          <w:u w:val="single"/>
        </w:rPr>
      </w:pPr>
      <w:r w:rsidRPr="00961601">
        <w:rPr>
          <w:i/>
          <w:iCs/>
          <w:color w:val="FF0000"/>
          <w:u w:val="single"/>
        </w:rPr>
        <w:t>(c) the proposed designation is a project to be undertaken in a road corridor.</w:t>
      </w:r>
    </w:p>
    <w:p w14:paraId="12694159" w14:textId="47059396" w:rsidR="00E727F8" w:rsidRDefault="00CC15A7" w:rsidP="00961601">
      <w:pPr>
        <w:pStyle w:val="NumStyle2Lev2"/>
      </w:pPr>
      <w:r>
        <w:t xml:space="preserve">As currently drafted, the Planning Bill </w:t>
      </w:r>
      <w:r w:rsidRPr="00281B9C">
        <w:t xml:space="preserve">requires a territorial authority to </w:t>
      </w:r>
      <w:r>
        <w:t>"</w:t>
      </w:r>
      <w:r w:rsidRPr="00281B9C">
        <w:t>targeted notify</w:t>
      </w:r>
      <w:r>
        <w:t>"</w:t>
      </w:r>
      <w:r w:rsidRPr="00281B9C">
        <w:t xml:space="preserve"> a proposed designation to "affected persons" which includes persons who own or occupy land to which the proposed designation applies.  </w:t>
      </w:r>
      <w:r>
        <w:t>Other provisions allow for effects on parties to be disregarded, however, as it currently stands a party would need to be notified even if it had given written approval.  The provisions</w:t>
      </w:r>
      <w:r w:rsidRPr="00281B9C">
        <w:t xml:space="preserve"> should be amended to make it clear that an owner or occupier of land is not an affected party if they have given written approval</w:t>
      </w:r>
      <w:r>
        <w:t>, as follows</w:t>
      </w:r>
      <w:r w:rsidR="000547BB">
        <w:t xml:space="preserve"> under </w:t>
      </w:r>
      <w:r w:rsidR="00EC36F8">
        <w:t>clause</w:t>
      </w:r>
      <w:r w:rsidR="000547BB">
        <w:t xml:space="preserve"> 20(3)(c) of Schedule 5</w:t>
      </w:r>
      <w:r w:rsidR="00F7242C">
        <w:t>:</w:t>
      </w:r>
    </w:p>
    <w:p w14:paraId="16DB44C4" w14:textId="2555AF46" w:rsidR="009B0C06" w:rsidRPr="00E1435B" w:rsidRDefault="00CC15A7" w:rsidP="00E1435B">
      <w:pPr>
        <w:pStyle w:val="NumStyle2Lev3"/>
        <w:numPr>
          <w:ilvl w:val="0"/>
          <w:numId w:val="0"/>
        </w:numPr>
        <w:ind w:left="1134" w:firstLine="306"/>
        <w:rPr>
          <w:i/>
          <w:iCs/>
        </w:rPr>
      </w:pPr>
      <w:r w:rsidRPr="000547BB">
        <w:rPr>
          <w:i/>
          <w:iCs/>
        </w:rPr>
        <w:t xml:space="preserve">(c) must </w:t>
      </w:r>
      <w:r w:rsidRPr="000547BB">
        <w:rPr>
          <w:i/>
          <w:iCs/>
          <w:strike/>
          <w:color w:val="FF0000"/>
        </w:rPr>
        <w:t xml:space="preserve">disregard </w:t>
      </w:r>
      <w:r w:rsidRPr="000547BB">
        <w:rPr>
          <w:i/>
          <w:iCs/>
          <w:color w:val="FF0000"/>
          <w:u w:val="single"/>
        </w:rPr>
        <w:t>not consider</w:t>
      </w:r>
      <w:r w:rsidRPr="000547BB">
        <w:rPr>
          <w:i/>
          <w:iCs/>
          <w:color w:val="FF0000"/>
        </w:rPr>
        <w:t xml:space="preserve"> </w:t>
      </w:r>
      <w:r w:rsidRPr="000547BB">
        <w:rPr>
          <w:i/>
          <w:iCs/>
        </w:rPr>
        <w:t xml:space="preserve">any person </w:t>
      </w:r>
      <w:r w:rsidRPr="000547BB">
        <w:rPr>
          <w:i/>
          <w:iCs/>
          <w:color w:val="FF0000"/>
          <w:u w:val="single"/>
        </w:rPr>
        <w:t>to be an affected person</w:t>
      </w:r>
      <w:r w:rsidRPr="000547BB">
        <w:rPr>
          <w:i/>
          <w:iCs/>
          <w:color w:val="FF0000"/>
        </w:rPr>
        <w:t xml:space="preserve"> </w:t>
      </w:r>
      <w:r w:rsidRPr="000547BB">
        <w:rPr>
          <w:i/>
          <w:iCs/>
        </w:rPr>
        <w:t>if […]</w:t>
      </w:r>
    </w:p>
    <w:p w14:paraId="3A5CF890" w14:textId="29EDE9E9" w:rsidR="00097062" w:rsidRPr="00BC241D" w:rsidRDefault="003C2102" w:rsidP="008E33B1">
      <w:pPr>
        <w:pStyle w:val="NumStyle2Lev2"/>
        <w:numPr>
          <w:ilvl w:val="0"/>
          <w:numId w:val="0"/>
        </w:numPr>
        <w:rPr>
          <w:i/>
          <w:iCs/>
        </w:rPr>
      </w:pPr>
      <w:r w:rsidRPr="00BC241D">
        <w:rPr>
          <w:i/>
          <w:iCs/>
        </w:rPr>
        <w:t xml:space="preserve">Relationship between </w:t>
      </w:r>
      <w:r w:rsidR="005F60F1" w:rsidRPr="00BC241D">
        <w:rPr>
          <w:i/>
          <w:iCs/>
        </w:rPr>
        <w:t xml:space="preserve">national </w:t>
      </w:r>
      <w:r w:rsidR="009B0C06">
        <w:rPr>
          <w:i/>
          <w:iCs/>
        </w:rPr>
        <w:t>rules</w:t>
      </w:r>
      <w:r w:rsidR="005F60F1" w:rsidRPr="00BC241D">
        <w:rPr>
          <w:i/>
          <w:iCs/>
        </w:rPr>
        <w:t xml:space="preserve"> and designations </w:t>
      </w:r>
    </w:p>
    <w:p w14:paraId="5F520EC4" w14:textId="77777777" w:rsidR="00BC241D" w:rsidRDefault="005F60F1" w:rsidP="00BC241D">
      <w:pPr>
        <w:pStyle w:val="NumStyle2Lev2"/>
      </w:pPr>
      <w:r>
        <w:t xml:space="preserve">We support the </w:t>
      </w:r>
      <w:r w:rsidR="005601E1">
        <w:t>intention of clause 42(1)</w:t>
      </w:r>
      <w:r w:rsidR="00E92CF9">
        <w:t>(a)</w:t>
      </w:r>
      <w:r w:rsidR="005601E1">
        <w:t xml:space="preserve"> </w:t>
      </w:r>
      <w:r w:rsidR="00354F30">
        <w:t xml:space="preserve">and clause 4(1)(b)(i) </w:t>
      </w:r>
      <w:r w:rsidR="00E63BBB">
        <w:t xml:space="preserve">of schedule 5 </w:t>
      </w:r>
      <w:r w:rsidR="005601E1">
        <w:t xml:space="preserve">to </w:t>
      </w:r>
      <w:r w:rsidR="00142248">
        <w:t xml:space="preserve">address a long-standing </w:t>
      </w:r>
      <w:r w:rsidR="00E03BFC">
        <w:t xml:space="preserve">conflict between national </w:t>
      </w:r>
      <w:r w:rsidR="009B0C06">
        <w:t xml:space="preserve">rules </w:t>
      </w:r>
      <w:r w:rsidR="00E03BFC">
        <w:t xml:space="preserve">and </w:t>
      </w:r>
      <w:r w:rsidR="00E63BBB">
        <w:t xml:space="preserve">designations created by </w:t>
      </w:r>
      <w:r w:rsidR="00CE63C6">
        <w:t>s</w:t>
      </w:r>
      <w:r w:rsidR="00E03BFC">
        <w:t>ection 43D of the RMA</w:t>
      </w:r>
      <w:r w:rsidR="00E63BBB">
        <w:t>. S</w:t>
      </w:r>
      <w:r w:rsidR="00CE63C6">
        <w:t xml:space="preserve">ection </w:t>
      </w:r>
      <w:r w:rsidR="00E63BBB">
        <w:t xml:space="preserve">43D </w:t>
      </w:r>
      <w:r w:rsidR="00CE63C6">
        <w:t>has had the effect of p</w:t>
      </w:r>
      <w:r w:rsidR="00FA2332">
        <w:t>revent</w:t>
      </w:r>
      <w:r w:rsidR="00CE63C6">
        <w:t>ing</w:t>
      </w:r>
      <w:r w:rsidR="00FA2332">
        <w:t xml:space="preserve"> new designations from being u</w:t>
      </w:r>
      <w:r w:rsidR="00CE63C6">
        <w:t>s</w:t>
      </w:r>
      <w:r w:rsidR="00FA2332">
        <w:t xml:space="preserve">ed for activities </w:t>
      </w:r>
      <w:r w:rsidR="002C5B01">
        <w:t xml:space="preserve">otherwise </w:t>
      </w:r>
      <w:r w:rsidR="00FA2332">
        <w:t>regulated by national standards</w:t>
      </w:r>
      <w:r w:rsidR="002C5B01">
        <w:t>, even where th</w:t>
      </w:r>
      <w:r w:rsidR="00A150BA">
        <w:t xml:space="preserve">ose activities are an integral part of the designated purpose of the site. </w:t>
      </w:r>
    </w:p>
    <w:p w14:paraId="3A7A06E6" w14:textId="6FF32EA9" w:rsidR="0024343D" w:rsidRDefault="0024343D" w:rsidP="00BC241D">
      <w:pPr>
        <w:pStyle w:val="NumStyle2Lev2"/>
      </w:pPr>
      <w:r>
        <w:t xml:space="preserve">We recommend clause 42(1)(a) is </w:t>
      </w:r>
      <w:r w:rsidR="00563FB1">
        <w:t xml:space="preserve">amended as follows: </w:t>
      </w:r>
    </w:p>
    <w:p w14:paraId="0D040969" w14:textId="77777777" w:rsidR="00854E3D" w:rsidRPr="00BC241D" w:rsidRDefault="00854E3D" w:rsidP="00BC241D">
      <w:pPr>
        <w:pStyle w:val="NumStyle2Lev3"/>
        <w:numPr>
          <w:ilvl w:val="0"/>
          <w:numId w:val="0"/>
        </w:numPr>
        <w:ind w:left="1134"/>
        <w:rPr>
          <w:i/>
          <w:iCs/>
        </w:rPr>
      </w:pPr>
      <w:r w:rsidRPr="00BC241D">
        <w:rPr>
          <w:i/>
          <w:iCs/>
        </w:rPr>
        <w:t>(1) A designation or a construction project plan may be more enabling than a national rule—</w:t>
      </w:r>
    </w:p>
    <w:p w14:paraId="6EE9C0FB" w14:textId="1A45A154" w:rsidR="00854E3D" w:rsidRDefault="00854E3D" w:rsidP="008E33B1">
      <w:pPr>
        <w:pStyle w:val="NumStyle2Lev3"/>
        <w:numPr>
          <w:ilvl w:val="0"/>
          <w:numId w:val="0"/>
        </w:numPr>
        <w:ind w:left="1440"/>
        <w:rPr>
          <w:i/>
          <w:iCs/>
        </w:rPr>
      </w:pPr>
      <w:r w:rsidRPr="00BC241D">
        <w:rPr>
          <w:i/>
          <w:iCs/>
        </w:rPr>
        <w:t xml:space="preserve">(a) if the </w:t>
      </w:r>
      <w:r w:rsidRPr="00BC241D">
        <w:rPr>
          <w:i/>
          <w:iCs/>
          <w:color w:val="FF0000"/>
          <w:u w:val="single"/>
        </w:rPr>
        <w:t>standard or</w:t>
      </w:r>
      <w:r w:rsidRPr="00BC241D">
        <w:rPr>
          <w:i/>
          <w:iCs/>
          <w:color w:val="FF0000"/>
        </w:rPr>
        <w:t xml:space="preserve"> </w:t>
      </w:r>
      <w:r w:rsidRPr="00BC241D">
        <w:rPr>
          <w:i/>
          <w:iCs/>
        </w:rPr>
        <w:t>rule expressly allows the designation or construction project plan to be more enabling than it;</w:t>
      </w:r>
    </w:p>
    <w:p w14:paraId="50E489B0" w14:textId="45F2B7C0" w:rsidR="0024343D" w:rsidRDefault="008E33B1" w:rsidP="008E33B1">
      <w:pPr>
        <w:pStyle w:val="NumStyle2Lev2"/>
      </w:pPr>
      <w:r w:rsidRPr="00BC241D">
        <w:t xml:space="preserve">We recommend </w:t>
      </w:r>
      <w:r w:rsidR="00084B36" w:rsidRPr="00084B36">
        <w:t>clause 4(1)(b)(i) of schedule 5</w:t>
      </w:r>
      <w:r w:rsidR="00084B36">
        <w:t xml:space="preserve"> is amended as follows:</w:t>
      </w:r>
    </w:p>
    <w:p w14:paraId="4E23A7E5" w14:textId="6E1126CA" w:rsidR="00084B36" w:rsidRPr="00BC241D" w:rsidRDefault="003B2BF7" w:rsidP="00BC241D">
      <w:pPr>
        <w:pStyle w:val="NumStyle2Lev3"/>
        <w:numPr>
          <w:ilvl w:val="0"/>
          <w:numId w:val="0"/>
        </w:numPr>
        <w:ind w:left="1134"/>
        <w:rPr>
          <w:i/>
          <w:iCs/>
        </w:rPr>
      </w:pPr>
      <w:r w:rsidRPr="00BC241D">
        <w:rPr>
          <w:i/>
          <w:iCs/>
        </w:rPr>
        <w:t>(1) If a designation is included in a land use plan</w:t>
      </w:r>
      <w:r w:rsidRPr="00BC241D">
        <w:rPr>
          <w:rFonts w:hint="eastAsia"/>
          <w:i/>
          <w:iCs/>
        </w:rPr>
        <w:t>—</w:t>
      </w:r>
    </w:p>
    <w:p w14:paraId="4A2DCEDD" w14:textId="2CF38697" w:rsidR="003B786F" w:rsidRPr="00BC241D" w:rsidRDefault="003603C7" w:rsidP="003B786F">
      <w:pPr>
        <w:pStyle w:val="NumStyle2Lev2"/>
        <w:numPr>
          <w:ilvl w:val="0"/>
          <w:numId w:val="0"/>
        </w:numPr>
        <w:ind w:left="567"/>
        <w:rPr>
          <w:i/>
          <w:iCs/>
        </w:rPr>
      </w:pPr>
      <w:r w:rsidRPr="00BC241D">
        <w:rPr>
          <w:i/>
          <w:iCs/>
        </w:rPr>
        <w:tab/>
      </w:r>
      <w:r w:rsidRPr="00BC241D">
        <w:rPr>
          <w:i/>
          <w:iCs/>
        </w:rPr>
        <w:tab/>
      </w:r>
      <w:r w:rsidR="003B786F" w:rsidRPr="00BC241D">
        <w:rPr>
          <w:i/>
          <w:iCs/>
        </w:rPr>
        <w:t>[…]</w:t>
      </w:r>
    </w:p>
    <w:p w14:paraId="5A9430E7" w14:textId="77777777" w:rsidR="003B786F" w:rsidRPr="00467F58" w:rsidRDefault="003B786F" w:rsidP="003B786F">
      <w:pPr>
        <w:pStyle w:val="NumStyle2Lev3"/>
        <w:numPr>
          <w:ilvl w:val="0"/>
          <w:numId w:val="0"/>
        </w:numPr>
        <w:ind w:left="1440"/>
        <w:rPr>
          <w:i/>
          <w:iCs/>
        </w:rPr>
      </w:pPr>
      <w:r w:rsidRPr="00467F58">
        <w:rPr>
          <w:i/>
          <w:iCs/>
        </w:rPr>
        <w:t xml:space="preserve">(b) </w:t>
      </w:r>
      <w:r w:rsidRPr="00BC241D">
        <w:rPr>
          <w:i/>
          <w:iCs/>
        </w:rPr>
        <w:t>the designating authority may use land for a project in way that contravenes a national rule, if—</w:t>
      </w:r>
    </w:p>
    <w:p w14:paraId="0611E606" w14:textId="6A0D66DE" w:rsidR="003B786F" w:rsidRPr="00BC241D" w:rsidRDefault="00BC241D" w:rsidP="003B786F">
      <w:pPr>
        <w:pStyle w:val="NumStyle2Lev3"/>
        <w:numPr>
          <w:ilvl w:val="0"/>
          <w:numId w:val="0"/>
        </w:numPr>
        <w:ind w:left="1440"/>
        <w:rPr>
          <w:i/>
          <w:iCs/>
        </w:rPr>
      </w:pPr>
      <w:r>
        <w:rPr>
          <w:i/>
          <w:iCs/>
        </w:rPr>
        <w:tab/>
      </w:r>
      <w:r w:rsidR="003B786F" w:rsidRPr="00BC241D">
        <w:rPr>
          <w:i/>
          <w:iCs/>
        </w:rPr>
        <w:t>(i) the use of land for the project is authorised by the designation; and</w:t>
      </w:r>
    </w:p>
    <w:p w14:paraId="0C2AC740" w14:textId="194F44BE" w:rsidR="003B786F" w:rsidRPr="00467F58" w:rsidRDefault="003B786F" w:rsidP="00BC241D">
      <w:pPr>
        <w:pStyle w:val="NumStyle2Lev3"/>
        <w:numPr>
          <w:ilvl w:val="0"/>
          <w:numId w:val="0"/>
        </w:numPr>
        <w:ind w:left="2160"/>
        <w:rPr>
          <w:i/>
          <w:iCs/>
        </w:rPr>
      </w:pPr>
      <w:r w:rsidRPr="00BC241D">
        <w:rPr>
          <w:i/>
          <w:iCs/>
        </w:rPr>
        <w:t>(ii) the national</w:t>
      </w:r>
      <w:r w:rsidR="00F429BF" w:rsidRPr="00BC241D">
        <w:rPr>
          <w:i/>
          <w:iCs/>
        </w:rPr>
        <w:t xml:space="preserve"> </w:t>
      </w:r>
      <w:r w:rsidR="00F429BF" w:rsidRPr="00BC241D">
        <w:rPr>
          <w:i/>
          <w:iCs/>
          <w:color w:val="FF0000"/>
          <w:u w:val="single"/>
        </w:rPr>
        <w:t>standard or</w:t>
      </w:r>
      <w:r w:rsidRPr="00BC241D">
        <w:rPr>
          <w:i/>
          <w:iCs/>
          <w:color w:val="FF0000"/>
          <w:u w:val="single"/>
        </w:rPr>
        <w:t xml:space="preserve"> </w:t>
      </w:r>
      <w:r w:rsidRPr="00BC241D">
        <w:rPr>
          <w:i/>
          <w:iCs/>
        </w:rPr>
        <w:t>rule expressly allows a designation to be more enabling that the national rule or section 42 otherwise allows the</w:t>
      </w:r>
      <w:r w:rsidR="003603C7" w:rsidRPr="00BC241D">
        <w:rPr>
          <w:i/>
          <w:iCs/>
        </w:rPr>
        <w:t xml:space="preserve"> </w:t>
      </w:r>
      <w:r w:rsidRPr="00BC241D">
        <w:rPr>
          <w:i/>
          <w:iCs/>
        </w:rPr>
        <w:t>designation to prevail over the national rule; and</w:t>
      </w:r>
    </w:p>
    <w:p w14:paraId="7DE8297C" w14:textId="77777777" w:rsidR="0024343D" w:rsidRPr="00BC241D" w:rsidRDefault="0024343D" w:rsidP="00BC241D">
      <w:pPr>
        <w:pStyle w:val="NumStyle2Lev3"/>
        <w:numPr>
          <w:ilvl w:val="0"/>
          <w:numId w:val="0"/>
        </w:numPr>
        <w:ind w:left="1134"/>
        <w:rPr>
          <w:i/>
          <w:iCs/>
        </w:rPr>
      </w:pPr>
    </w:p>
    <w:p w14:paraId="57FC807D" w14:textId="3CA0E7F5" w:rsidR="00314A3C" w:rsidRDefault="00E92CF9" w:rsidP="00BC241D">
      <w:pPr>
        <w:pStyle w:val="NumStyle2Lev2"/>
      </w:pPr>
      <w:r>
        <w:t xml:space="preserve">Under clause 42(4) </w:t>
      </w:r>
      <w:r w:rsidRPr="001164BE">
        <w:t xml:space="preserve">a national rule will prevail over a designation if a construction project plan is required and is not completed before the national rule is made. </w:t>
      </w:r>
      <w:r>
        <w:t xml:space="preserve">We recommend that clause </w:t>
      </w:r>
      <w:r w:rsidRPr="001164BE">
        <w:lastRenderedPageBreak/>
        <w:t xml:space="preserve">42(4) </w:t>
      </w:r>
      <w:r>
        <w:t xml:space="preserve">is deleted to remove </w:t>
      </w:r>
      <w:r w:rsidRPr="001164BE">
        <w:t>uncertainty as to whether the construction project plan for a designation needs to relate to the same aspect of the designation</w:t>
      </w:r>
      <w:r>
        <w:t xml:space="preserve">, which </w:t>
      </w:r>
      <w:r w:rsidRPr="001164BE">
        <w:t>otherwise complicates the simple approach</w:t>
      </w:r>
      <w:r>
        <w:t xml:space="preserve"> laid out in clause </w:t>
      </w:r>
      <w:r w:rsidRPr="001164BE">
        <w:t xml:space="preserve">42(2). </w:t>
      </w:r>
    </w:p>
    <w:p w14:paraId="4D47C427" w14:textId="77777777" w:rsidR="00EB5C90" w:rsidRPr="00EB5C90" w:rsidRDefault="00CC15A7" w:rsidP="00EB5C90">
      <w:pPr>
        <w:pStyle w:val="NumStyle2Lev2"/>
        <w:numPr>
          <w:ilvl w:val="0"/>
          <w:numId w:val="0"/>
        </w:numPr>
        <w:rPr>
          <w:i/>
          <w:iCs/>
        </w:rPr>
      </w:pPr>
      <w:r w:rsidRPr="4218F192">
        <w:rPr>
          <w:i/>
          <w:iCs/>
        </w:rPr>
        <w:t>Approval from designating authority</w:t>
      </w:r>
    </w:p>
    <w:p w14:paraId="1A70AACD" w14:textId="25F97F89" w:rsidR="00477937" w:rsidRDefault="00CC15A7" w:rsidP="009A5687">
      <w:pPr>
        <w:pStyle w:val="NumStyle2Lev2"/>
      </w:pPr>
      <w:r w:rsidRPr="001164BE">
        <w:t xml:space="preserve">As drafted, </w:t>
      </w:r>
      <w:r w:rsidR="009A3221">
        <w:t>clause</w:t>
      </w:r>
      <w:r w:rsidR="009903BB">
        <w:t xml:space="preserve"> </w:t>
      </w:r>
      <w:r w:rsidRPr="001164BE">
        <w:t>42</w:t>
      </w:r>
      <w:r w:rsidR="009903BB">
        <w:t xml:space="preserve"> of Schedule 5 </w:t>
      </w:r>
      <w:r w:rsidRPr="001164BE">
        <w:t>requires a person to apply to a designating authority for approval to do something that would otherwise prevent or hinder the wor</w:t>
      </w:r>
      <w:r w:rsidR="00B218FE">
        <w:t>k</w:t>
      </w:r>
      <w:r w:rsidRPr="001164BE">
        <w:t>. If the designating authority does not respond within 40 working days, the application is treated as if it were approved without conditions.</w:t>
      </w:r>
      <w:r w:rsidR="009A5687">
        <w:t xml:space="preserve"> </w:t>
      </w:r>
      <w:r w:rsidR="002B60FB">
        <w:t xml:space="preserve">This </w:t>
      </w:r>
      <w:r w:rsidR="00F927FE">
        <w:t xml:space="preserve">presents some </w:t>
      </w:r>
      <w:r w:rsidR="0052096F">
        <w:t xml:space="preserve">procedural </w:t>
      </w:r>
      <w:r w:rsidR="00F927FE">
        <w:t xml:space="preserve">risk as the drafting does not specify how requests are to be received </w:t>
      </w:r>
      <w:r w:rsidR="00B77E2B">
        <w:t>by the designating authority for consideration</w:t>
      </w:r>
      <w:r w:rsidR="0052096F">
        <w:t xml:space="preserve"> e.g. by mail or by email</w:t>
      </w:r>
      <w:r w:rsidR="00025A22">
        <w:t xml:space="preserve"> / website portal</w:t>
      </w:r>
      <w:r w:rsidR="00B77E2B">
        <w:t xml:space="preserve">. </w:t>
      </w:r>
      <w:r w:rsidRPr="001164BE">
        <w:t xml:space="preserve">We recommend </w:t>
      </w:r>
      <w:r w:rsidR="009903BB">
        <w:t xml:space="preserve">the </w:t>
      </w:r>
      <w:r w:rsidR="00C525A3">
        <w:t xml:space="preserve">following amendment to clause 43 </w:t>
      </w:r>
      <w:r w:rsidRPr="001164BE">
        <w:t>to ensure a designating authority has genuinely received an application and had an opportunity to respond.</w:t>
      </w:r>
    </w:p>
    <w:p w14:paraId="246A20D7" w14:textId="31994D90" w:rsidR="003C06D8" w:rsidRPr="009329A0" w:rsidRDefault="003C06D8" w:rsidP="003C06D8">
      <w:pPr>
        <w:pStyle w:val="NumStyle2Lev3"/>
        <w:numPr>
          <w:ilvl w:val="0"/>
          <w:numId w:val="0"/>
        </w:numPr>
        <w:ind w:left="1134"/>
        <w:rPr>
          <w:b/>
          <w:bCs/>
          <w:i/>
          <w:iCs/>
        </w:rPr>
      </w:pPr>
      <w:r w:rsidRPr="009329A0">
        <w:rPr>
          <w:b/>
          <w:bCs/>
          <w:i/>
          <w:iCs/>
        </w:rPr>
        <w:t>42 Approval to use land subject to designation or proposed designation</w:t>
      </w:r>
    </w:p>
    <w:p w14:paraId="28E988AD" w14:textId="5FB2D403" w:rsidR="003C06D8" w:rsidRPr="003C06D8" w:rsidRDefault="003C06D8" w:rsidP="009329A0">
      <w:pPr>
        <w:pStyle w:val="NumStyle2Lev3"/>
        <w:numPr>
          <w:ilvl w:val="0"/>
          <w:numId w:val="0"/>
        </w:numPr>
        <w:ind w:left="1134"/>
        <w:rPr>
          <w:i/>
          <w:iCs/>
        </w:rPr>
      </w:pPr>
      <w:r w:rsidRPr="003C06D8">
        <w:rPr>
          <w:i/>
          <w:iCs/>
        </w:rPr>
        <w:t xml:space="preserve">(1) A person may apply in writing to </w:t>
      </w:r>
      <w:r w:rsidR="005F0323" w:rsidRPr="002F21EE">
        <w:rPr>
          <w:i/>
          <w:iCs/>
          <w:color w:val="FF0000"/>
          <w:u w:val="single"/>
        </w:rPr>
        <w:t>the verified address for service of</w:t>
      </w:r>
      <w:r w:rsidR="005F0323">
        <w:rPr>
          <w:i/>
          <w:iCs/>
        </w:rPr>
        <w:t xml:space="preserve"> </w:t>
      </w:r>
      <w:r w:rsidRPr="003C06D8">
        <w:rPr>
          <w:i/>
          <w:iCs/>
        </w:rPr>
        <w:t>a designating authority that holds a designation</w:t>
      </w:r>
      <w:r w:rsidR="009329A0">
        <w:rPr>
          <w:i/>
          <w:iCs/>
        </w:rPr>
        <w:t xml:space="preserve"> </w:t>
      </w:r>
      <w:r w:rsidRPr="003C06D8">
        <w:rPr>
          <w:i/>
          <w:iCs/>
        </w:rPr>
        <w:t>for approval to do something in relation to land subject to the designation</w:t>
      </w:r>
      <w:r w:rsidR="009329A0">
        <w:rPr>
          <w:i/>
          <w:iCs/>
        </w:rPr>
        <w:t xml:space="preserve"> </w:t>
      </w:r>
      <w:r w:rsidRPr="003C06D8">
        <w:rPr>
          <w:i/>
          <w:iCs/>
        </w:rPr>
        <w:t xml:space="preserve">that would otherwise contravene clause </w:t>
      </w:r>
      <w:r w:rsidRPr="009329A0">
        <w:rPr>
          <w:b/>
          <w:bCs/>
          <w:i/>
          <w:iCs/>
        </w:rPr>
        <w:t>4(1)(c).</w:t>
      </w:r>
    </w:p>
    <w:p w14:paraId="155FD5FE" w14:textId="600DB351" w:rsidR="003C06D8" w:rsidRPr="003C06D8" w:rsidRDefault="003C06D8" w:rsidP="009329A0">
      <w:pPr>
        <w:pStyle w:val="NumStyle2Lev3"/>
        <w:numPr>
          <w:ilvl w:val="0"/>
          <w:numId w:val="0"/>
        </w:numPr>
        <w:ind w:left="1134"/>
        <w:rPr>
          <w:i/>
          <w:iCs/>
        </w:rPr>
      </w:pPr>
      <w:r w:rsidRPr="003C06D8">
        <w:rPr>
          <w:i/>
          <w:iCs/>
        </w:rPr>
        <w:t xml:space="preserve">(2) A person may apply in writing to </w:t>
      </w:r>
      <w:r w:rsidR="002F21EE" w:rsidRPr="002F21EE">
        <w:rPr>
          <w:i/>
          <w:iCs/>
          <w:color w:val="FF0000"/>
          <w:u w:val="single"/>
        </w:rPr>
        <w:t>the verified address for service of</w:t>
      </w:r>
      <w:r w:rsidR="002F21EE" w:rsidRPr="003C06D8">
        <w:rPr>
          <w:i/>
          <w:iCs/>
        </w:rPr>
        <w:t xml:space="preserve"> </w:t>
      </w:r>
      <w:r w:rsidRPr="003C06D8">
        <w:rPr>
          <w:i/>
          <w:iCs/>
        </w:rPr>
        <w:t>a designating authority responsible for a proposed</w:t>
      </w:r>
      <w:r w:rsidR="009329A0">
        <w:rPr>
          <w:i/>
          <w:iCs/>
        </w:rPr>
        <w:t xml:space="preserve"> </w:t>
      </w:r>
      <w:r w:rsidRPr="003C06D8">
        <w:rPr>
          <w:i/>
          <w:iCs/>
        </w:rPr>
        <w:t xml:space="preserve">designation for approval to do something that would otherwise </w:t>
      </w:r>
      <w:r w:rsidRPr="004B1749">
        <w:rPr>
          <w:b/>
          <w:bCs/>
          <w:i/>
          <w:iCs/>
        </w:rPr>
        <w:t>contravene clause 5(1)</w:t>
      </w:r>
      <w:r w:rsidRPr="003C06D8">
        <w:rPr>
          <w:i/>
          <w:iCs/>
        </w:rPr>
        <w:t>.</w:t>
      </w:r>
    </w:p>
    <w:p w14:paraId="7BC06C40" w14:textId="74E0E8FE" w:rsidR="003C06D8" w:rsidRPr="003C06D8" w:rsidRDefault="003C06D8" w:rsidP="004B1749">
      <w:pPr>
        <w:pStyle w:val="NumStyle2Lev3"/>
        <w:numPr>
          <w:ilvl w:val="0"/>
          <w:numId w:val="0"/>
        </w:numPr>
        <w:ind w:left="1134"/>
        <w:rPr>
          <w:i/>
          <w:iCs/>
        </w:rPr>
      </w:pPr>
      <w:r w:rsidRPr="003C06D8">
        <w:rPr>
          <w:i/>
          <w:iCs/>
        </w:rPr>
        <w:t>(3) A designating authority must, no later than 40 working days after receiving an</w:t>
      </w:r>
      <w:r w:rsidR="004B1749">
        <w:rPr>
          <w:i/>
          <w:iCs/>
        </w:rPr>
        <w:t xml:space="preserve"> </w:t>
      </w:r>
      <w:r w:rsidRPr="003C06D8">
        <w:rPr>
          <w:i/>
          <w:iCs/>
        </w:rPr>
        <w:t>application under this clause, notify the applicant in writing of its decision to</w:t>
      </w:r>
      <w:r w:rsidRPr="003C06D8">
        <w:rPr>
          <w:rFonts w:hint="eastAsia"/>
          <w:i/>
          <w:iCs/>
        </w:rPr>
        <w:t>—</w:t>
      </w:r>
    </w:p>
    <w:p w14:paraId="2005D747" w14:textId="5F76F9B7" w:rsidR="003C06D8" w:rsidRPr="003C06D8" w:rsidRDefault="004B1749" w:rsidP="003C06D8">
      <w:pPr>
        <w:pStyle w:val="NumStyle2Lev3"/>
        <w:numPr>
          <w:ilvl w:val="0"/>
          <w:numId w:val="0"/>
        </w:numPr>
        <w:ind w:left="1134"/>
        <w:rPr>
          <w:i/>
          <w:iCs/>
        </w:rPr>
      </w:pPr>
      <w:r>
        <w:rPr>
          <w:i/>
          <w:iCs/>
        </w:rPr>
        <w:tab/>
      </w:r>
      <w:r w:rsidR="003C06D8" w:rsidRPr="003C06D8">
        <w:rPr>
          <w:i/>
          <w:iCs/>
        </w:rPr>
        <w:t>(a)</w:t>
      </w:r>
      <w:r w:rsidR="005C04FC">
        <w:rPr>
          <w:i/>
          <w:iCs/>
        </w:rPr>
        <w:t xml:space="preserve"> </w:t>
      </w:r>
      <w:r w:rsidR="003C06D8" w:rsidRPr="003C06D8">
        <w:rPr>
          <w:i/>
          <w:iCs/>
        </w:rPr>
        <w:t>grant approval (with or without conditions); or</w:t>
      </w:r>
    </w:p>
    <w:p w14:paraId="1B20745F" w14:textId="08F79571" w:rsidR="003C06D8" w:rsidRPr="003C06D8" w:rsidRDefault="004B1749" w:rsidP="003C06D8">
      <w:pPr>
        <w:pStyle w:val="NumStyle2Lev3"/>
        <w:numPr>
          <w:ilvl w:val="0"/>
          <w:numId w:val="0"/>
        </w:numPr>
        <w:ind w:left="1134"/>
        <w:rPr>
          <w:i/>
          <w:iCs/>
        </w:rPr>
      </w:pPr>
      <w:r>
        <w:rPr>
          <w:i/>
          <w:iCs/>
        </w:rPr>
        <w:tab/>
      </w:r>
      <w:r w:rsidR="003C06D8" w:rsidRPr="003C06D8">
        <w:rPr>
          <w:i/>
          <w:iCs/>
        </w:rPr>
        <w:t xml:space="preserve">(b) refuse approval. </w:t>
      </w:r>
    </w:p>
    <w:p w14:paraId="7F7CD98E" w14:textId="40018E0F" w:rsidR="003C06D8" w:rsidRPr="003C06D8" w:rsidRDefault="003C06D8" w:rsidP="005C2CFA">
      <w:pPr>
        <w:pStyle w:val="NumStyle2Lev3"/>
        <w:numPr>
          <w:ilvl w:val="0"/>
          <w:numId w:val="0"/>
        </w:numPr>
        <w:ind w:left="1134"/>
        <w:rPr>
          <w:i/>
          <w:iCs/>
        </w:rPr>
      </w:pPr>
      <w:r w:rsidRPr="003C06D8">
        <w:rPr>
          <w:i/>
          <w:iCs/>
        </w:rPr>
        <w:t xml:space="preserve">(4) </w:t>
      </w:r>
      <w:r w:rsidR="005C2CFA" w:rsidRPr="005C2CFA">
        <w:rPr>
          <w:i/>
          <w:iCs/>
        </w:rPr>
        <w:t>If a designating authority does not notify the applicant of a decision within th</w:t>
      </w:r>
      <w:r w:rsidR="005C2CFA">
        <w:rPr>
          <w:i/>
          <w:iCs/>
        </w:rPr>
        <w:t xml:space="preserve">e </w:t>
      </w:r>
      <w:r w:rsidR="005C2CFA" w:rsidRPr="005C2CFA">
        <w:rPr>
          <w:i/>
          <w:iCs/>
        </w:rPr>
        <w:t>deadline specified in subclause (3), the application must be treated as if were</w:t>
      </w:r>
      <w:r w:rsidR="005C2CFA">
        <w:rPr>
          <w:i/>
          <w:iCs/>
        </w:rPr>
        <w:t xml:space="preserve"> </w:t>
      </w:r>
      <w:r w:rsidR="005C2CFA" w:rsidRPr="005C2CFA">
        <w:rPr>
          <w:i/>
          <w:iCs/>
        </w:rPr>
        <w:t>approved without conditions.</w:t>
      </w:r>
    </w:p>
    <w:p w14:paraId="1F48CA9E" w14:textId="3CCC6505" w:rsidR="00405C26" w:rsidRPr="00BA34C5" w:rsidRDefault="00643D67" w:rsidP="00405C26">
      <w:pPr>
        <w:pStyle w:val="NumStyle2Lev3"/>
        <w:numPr>
          <w:ilvl w:val="0"/>
          <w:numId w:val="0"/>
        </w:numPr>
        <w:ind w:left="1134"/>
        <w:rPr>
          <w:i/>
          <w:iCs/>
          <w:color w:val="FF0000"/>
          <w:u w:val="single"/>
        </w:rPr>
      </w:pPr>
      <w:r w:rsidRPr="00BA34C5">
        <w:rPr>
          <w:i/>
          <w:iCs/>
          <w:color w:val="FF0000"/>
          <w:u w:val="single"/>
        </w:rPr>
        <w:t xml:space="preserve">(5) </w:t>
      </w:r>
      <w:r w:rsidR="002B075E" w:rsidRPr="002B075E">
        <w:rPr>
          <w:i/>
          <w:iCs/>
          <w:color w:val="FF0000"/>
          <w:u w:val="single"/>
        </w:rPr>
        <w:t>A territorial authority must maintain a publicly available register of the verified address for service for all designating authorities within its district for the purpose of this clause.</w:t>
      </w:r>
    </w:p>
    <w:p w14:paraId="18C9BEFB" w14:textId="43F27E19" w:rsidR="001164BE" w:rsidRPr="00BA34C5" w:rsidRDefault="00405C26" w:rsidP="00BC241D">
      <w:pPr>
        <w:pStyle w:val="NumStyle2Lev3"/>
        <w:numPr>
          <w:ilvl w:val="0"/>
          <w:numId w:val="0"/>
        </w:numPr>
        <w:ind w:left="1134"/>
        <w:rPr>
          <w:i/>
          <w:iCs/>
          <w:color w:val="FF0000"/>
          <w:u w:val="single"/>
        </w:rPr>
      </w:pPr>
      <w:r w:rsidRPr="00BA34C5">
        <w:rPr>
          <w:i/>
          <w:iCs/>
          <w:color w:val="FF0000"/>
          <w:u w:val="single"/>
        </w:rPr>
        <w:t xml:space="preserve">(6) </w:t>
      </w:r>
      <w:r w:rsidR="002B075E" w:rsidRPr="002B075E">
        <w:rPr>
          <w:i/>
          <w:iCs/>
          <w:color w:val="FF0000"/>
          <w:u w:val="single"/>
        </w:rPr>
        <w:t>A designating authority must provide the relevant territorial authority with a verified address for service for the purpose of subclause (5).</w:t>
      </w:r>
    </w:p>
    <w:p w14:paraId="0EB06FD7" w14:textId="67BEAFCE" w:rsidR="001164BE" w:rsidRDefault="00CC15A7" w:rsidP="001164BE">
      <w:pPr>
        <w:pStyle w:val="NumStyle2Lev2"/>
      </w:pPr>
      <w:r w:rsidRPr="001164BE">
        <w:t xml:space="preserve">We also </w:t>
      </w:r>
      <w:r w:rsidR="009903BB">
        <w:t xml:space="preserve">recommend </w:t>
      </w:r>
      <w:r w:rsidRPr="001164BE">
        <w:t xml:space="preserve">deletion of </w:t>
      </w:r>
      <w:r w:rsidR="007B085C">
        <w:t>clause</w:t>
      </w:r>
      <w:r w:rsidR="009903BB">
        <w:t xml:space="preserve"> 28 of Schedule 1 </w:t>
      </w:r>
      <w:r w:rsidRPr="001164BE">
        <w:t>to prevent confusion as to the status of requiring authorities following the transition</w:t>
      </w:r>
      <w:r w:rsidR="000A32C3">
        <w:t xml:space="preserve"> to the new system</w:t>
      </w:r>
      <w:r w:rsidRPr="001164BE">
        <w:t xml:space="preserve">. </w:t>
      </w:r>
    </w:p>
    <w:p w14:paraId="364F6E7E" w14:textId="2996F345" w:rsidR="00495A01" w:rsidRPr="00495A01" w:rsidRDefault="00CC15A7" w:rsidP="00495A01">
      <w:pPr>
        <w:pStyle w:val="NumStyle2Lev2"/>
        <w:numPr>
          <w:ilvl w:val="0"/>
          <w:numId w:val="0"/>
        </w:numPr>
        <w:rPr>
          <w:i/>
          <w:iCs/>
        </w:rPr>
      </w:pPr>
      <w:r w:rsidRPr="00495A01">
        <w:rPr>
          <w:i/>
          <w:iCs/>
        </w:rPr>
        <w:t>Construction Project Plans</w:t>
      </w:r>
    </w:p>
    <w:p w14:paraId="000ADB31" w14:textId="7FD3BC38" w:rsidR="00D5277C" w:rsidRDefault="00CC15A7" w:rsidP="009F4AFD">
      <w:pPr>
        <w:pStyle w:val="NumStyle2Lev2"/>
      </w:pPr>
      <w:r>
        <w:t>Whil</w:t>
      </w:r>
      <w:r w:rsidR="00495A01">
        <w:t>st</w:t>
      </w:r>
      <w:r>
        <w:t xml:space="preserve"> we </w:t>
      </w:r>
      <w:r w:rsidR="00951FD2">
        <w:t xml:space="preserve">support the </w:t>
      </w:r>
      <w:r>
        <w:t xml:space="preserve">open and transparent publishing </w:t>
      </w:r>
      <w:r w:rsidR="00951FD2">
        <w:t xml:space="preserve">of </w:t>
      </w:r>
      <w:r w:rsidR="0056166F">
        <w:t>construction project plans</w:t>
      </w:r>
      <w:r w:rsidR="00B414FD">
        <w:t xml:space="preserve"> </w:t>
      </w:r>
      <w:r w:rsidR="6BC1CB80">
        <w:t>(</w:t>
      </w:r>
      <w:r w:rsidR="66524ECB">
        <w:t>“</w:t>
      </w:r>
      <w:r w:rsidR="00B414FD" w:rsidRPr="4218F192">
        <w:rPr>
          <w:b/>
          <w:bCs/>
        </w:rPr>
        <w:t>CPPs</w:t>
      </w:r>
      <w:r w:rsidR="38B4DDCC">
        <w:t>”)</w:t>
      </w:r>
      <w:r w:rsidR="70021AB0">
        <w:t>,</w:t>
      </w:r>
      <w:r w:rsidR="008F5F27">
        <w:t xml:space="preserve"> </w:t>
      </w:r>
      <w:r w:rsidR="00B414FD">
        <w:t>i</w:t>
      </w:r>
      <w:r w:rsidR="0056648E">
        <w:t xml:space="preserve">t would be more administratively efficient and </w:t>
      </w:r>
      <w:r w:rsidR="00B414FD">
        <w:t xml:space="preserve">user friendly for CPPs to be published on the website of the relevant local authority. </w:t>
      </w:r>
      <w:r w:rsidR="009B0E93">
        <w:t xml:space="preserve">Council websites are already widely utilised to publish information relating </w:t>
      </w:r>
      <w:r w:rsidR="00FD7F4D">
        <w:t>to</w:t>
      </w:r>
      <w:r w:rsidR="009B0E93">
        <w:t xml:space="preserve"> plan changes, notified consent </w:t>
      </w:r>
      <w:r w:rsidR="00FD7F4D">
        <w:t>applications</w:t>
      </w:r>
      <w:r w:rsidR="009B0E93">
        <w:t xml:space="preserve"> and other </w:t>
      </w:r>
      <w:r w:rsidR="00FD7F4D">
        <w:t>relevant information</w:t>
      </w:r>
      <w:r w:rsidR="00F130D1">
        <w:t xml:space="preserve"> </w:t>
      </w:r>
      <w:r w:rsidR="00495A01">
        <w:t>of public interest</w:t>
      </w:r>
      <w:r w:rsidR="00CF6843">
        <w:t xml:space="preserve">. Members of the </w:t>
      </w:r>
      <w:r w:rsidR="00F130D1">
        <w:t xml:space="preserve">public are likely to expect this information to be available </w:t>
      </w:r>
      <w:r w:rsidR="009F4AFD">
        <w:t xml:space="preserve">on a local authority website. </w:t>
      </w:r>
      <w:r w:rsidR="00DC71F7">
        <w:t xml:space="preserve">This information is </w:t>
      </w:r>
      <w:r w:rsidR="00CF6843">
        <w:t xml:space="preserve">also </w:t>
      </w:r>
      <w:r w:rsidR="00DC71F7">
        <w:t xml:space="preserve">collated and finalised by the relevant </w:t>
      </w:r>
      <w:r w:rsidR="005F5831">
        <w:t>l</w:t>
      </w:r>
      <w:r w:rsidR="00DC71F7">
        <w:t xml:space="preserve">ocal </w:t>
      </w:r>
      <w:r w:rsidR="005F5831">
        <w:t>a</w:t>
      </w:r>
      <w:r w:rsidR="00DC71F7">
        <w:t>ut</w:t>
      </w:r>
      <w:r w:rsidR="005F5831">
        <w:t xml:space="preserve">hority </w:t>
      </w:r>
      <w:r w:rsidR="00DC71F7">
        <w:t xml:space="preserve">when </w:t>
      </w:r>
      <w:r w:rsidR="005F5831">
        <w:t xml:space="preserve">a </w:t>
      </w:r>
      <w:r w:rsidR="00DC71F7">
        <w:t xml:space="preserve">CPP </w:t>
      </w:r>
      <w:r w:rsidR="005F5831">
        <w:t xml:space="preserve">is </w:t>
      </w:r>
      <w:r w:rsidR="00331123">
        <w:t>confirmed,</w:t>
      </w:r>
      <w:r w:rsidR="00DC71F7">
        <w:t xml:space="preserve"> and</w:t>
      </w:r>
      <w:r w:rsidR="001E40EE">
        <w:t xml:space="preserve"> </w:t>
      </w:r>
      <w:r w:rsidR="00573479">
        <w:t xml:space="preserve">it is administratively </w:t>
      </w:r>
      <w:r w:rsidR="00573479">
        <w:lastRenderedPageBreak/>
        <w:t>expedient for this to be published by the local authority</w:t>
      </w:r>
      <w:r w:rsidR="00331123">
        <w:t xml:space="preserve"> as part of the </w:t>
      </w:r>
      <w:r w:rsidR="005F6961">
        <w:t xml:space="preserve">file </w:t>
      </w:r>
      <w:r w:rsidR="00331123">
        <w:t>closure process</w:t>
      </w:r>
      <w:r w:rsidR="00573479">
        <w:t xml:space="preserve">. </w:t>
      </w:r>
      <w:r w:rsidR="003C439F">
        <w:t>We recommend the following amendments</w:t>
      </w:r>
      <w:r w:rsidR="00573069">
        <w:t xml:space="preserve"> to </w:t>
      </w:r>
      <w:r w:rsidR="000407A9">
        <w:t xml:space="preserve">clause </w:t>
      </w:r>
      <w:r w:rsidR="00573069">
        <w:t>40 of Schedule 5</w:t>
      </w:r>
      <w:r w:rsidR="003C439F">
        <w:t>:</w:t>
      </w:r>
    </w:p>
    <w:p w14:paraId="1A515256" w14:textId="77777777" w:rsidR="00573069" w:rsidRPr="00573069" w:rsidRDefault="00CC15A7" w:rsidP="00573069">
      <w:pPr>
        <w:pStyle w:val="NumStyle2Lev3"/>
        <w:numPr>
          <w:ilvl w:val="0"/>
          <w:numId w:val="0"/>
        </w:numPr>
        <w:ind w:left="1134"/>
        <w:rPr>
          <w:i/>
          <w:iCs/>
        </w:rPr>
      </w:pPr>
      <w:r w:rsidRPr="00573069">
        <w:rPr>
          <w:i/>
          <w:iCs/>
        </w:rPr>
        <w:t xml:space="preserve">(1) A </w:t>
      </w:r>
      <w:r w:rsidRPr="00573069">
        <w:rPr>
          <w:i/>
          <w:iCs/>
          <w:strike/>
          <w:color w:val="FF0000"/>
        </w:rPr>
        <w:t>designating</w:t>
      </w:r>
      <w:r w:rsidRPr="00573069">
        <w:rPr>
          <w:i/>
          <w:iCs/>
          <w:color w:val="FF0000"/>
        </w:rPr>
        <w:t xml:space="preserve"> </w:t>
      </w:r>
      <w:r w:rsidRPr="00573069">
        <w:rPr>
          <w:i/>
          <w:iCs/>
          <w:color w:val="FF0000"/>
          <w:u w:val="single"/>
        </w:rPr>
        <w:t>local authority</w:t>
      </w:r>
      <w:r w:rsidRPr="00573069">
        <w:rPr>
          <w:i/>
          <w:iCs/>
          <w:color w:val="FF0000"/>
        </w:rPr>
        <w:t xml:space="preserve"> </w:t>
      </w:r>
      <w:r w:rsidRPr="00573069">
        <w:rPr>
          <w:i/>
          <w:iCs/>
        </w:rPr>
        <w:t xml:space="preserve">must publish construction project plans provided to it by designating authorities on an internet site to which the public has free access. </w:t>
      </w:r>
    </w:p>
    <w:p w14:paraId="4FAE22C9" w14:textId="4A62CB58" w:rsidR="00573069" w:rsidRDefault="00CC15A7" w:rsidP="00C7377E">
      <w:pPr>
        <w:pStyle w:val="NumStyle2Lev3"/>
        <w:numPr>
          <w:ilvl w:val="0"/>
          <w:numId w:val="0"/>
        </w:numPr>
        <w:ind w:left="1134"/>
        <w:rPr>
          <w:i/>
          <w:iCs/>
        </w:rPr>
      </w:pPr>
      <w:r w:rsidRPr="00573069">
        <w:rPr>
          <w:i/>
          <w:iCs/>
        </w:rPr>
        <w:t xml:space="preserve">(2) A designating authority must </w:t>
      </w:r>
      <w:r w:rsidRPr="00BF2A06">
        <w:rPr>
          <w:i/>
          <w:iCs/>
          <w:color w:val="FF0000"/>
          <w:u w:val="single"/>
        </w:rPr>
        <w:t xml:space="preserve">provide a plan to the local </w:t>
      </w:r>
      <w:r w:rsidRPr="00F471C6">
        <w:rPr>
          <w:i/>
          <w:iCs/>
          <w:color w:val="FF0000"/>
          <w:u w:val="single"/>
        </w:rPr>
        <w:t>authority to</w:t>
      </w:r>
      <w:r w:rsidRPr="00F471C6">
        <w:rPr>
          <w:i/>
          <w:iCs/>
          <w:color w:val="FF0000"/>
        </w:rPr>
        <w:t xml:space="preserve"> </w:t>
      </w:r>
      <w:r w:rsidRPr="00573069">
        <w:rPr>
          <w:i/>
          <w:iCs/>
        </w:rPr>
        <w:t xml:space="preserve">publish </w:t>
      </w:r>
      <w:r w:rsidRPr="00BF2A06">
        <w:rPr>
          <w:i/>
          <w:iCs/>
          <w:strike/>
          <w:color w:val="FF0000"/>
        </w:rPr>
        <w:t>a plan</w:t>
      </w:r>
      <w:r w:rsidRPr="00BF2A06">
        <w:rPr>
          <w:i/>
          <w:iCs/>
          <w:color w:val="FF0000"/>
        </w:rPr>
        <w:t xml:space="preserve"> </w:t>
      </w:r>
      <w:r w:rsidRPr="00573069">
        <w:rPr>
          <w:i/>
          <w:iCs/>
        </w:rPr>
        <w:t>[…]</w:t>
      </w:r>
    </w:p>
    <w:p w14:paraId="43482BD6" w14:textId="77777777" w:rsidR="00C36447" w:rsidRDefault="00C36447" w:rsidP="00856EDE">
      <w:pPr>
        <w:rPr>
          <w:b/>
          <w:bCs/>
        </w:rPr>
      </w:pPr>
    </w:p>
    <w:p w14:paraId="41300DB1" w14:textId="3D1319D7" w:rsidR="00A00845" w:rsidRPr="00BC241D" w:rsidRDefault="00A00845" w:rsidP="00A00845">
      <w:pPr>
        <w:rPr>
          <w:b/>
          <w:bCs/>
        </w:rPr>
      </w:pPr>
    </w:p>
    <w:p w14:paraId="35C9F94F" w14:textId="77777777" w:rsidR="00A00845" w:rsidRDefault="00A00845" w:rsidP="00FD54CC">
      <w:pPr>
        <w:pStyle w:val="Heading1"/>
        <w:numPr>
          <w:ilvl w:val="0"/>
          <w:numId w:val="0"/>
        </w:numPr>
        <w:ind w:left="567" w:hanging="567"/>
        <w:rPr>
          <w:b/>
          <w:bCs/>
        </w:rPr>
      </w:pPr>
    </w:p>
    <w:p w14:paraId="0C981FC4" w14:textId="4E00D152" w:rsidR="0096588D" w:rsidRDefault="0096588D" w:rsidP="00356DBE">
      <w:pPr>
        <w:tabs>
          <w:tab w:val="clear" w:pos="284"/>
          <w:tab w:val="clear" w:pos="567"/>
          <w:tab w:val="clear" w:pos="1276"/>
          <w:tab w:val="clear" w:pos="1985"/>
        </w:tabs>
        <w:spacing w:before="120" w:after="120" w:line="240" w:lineRule="atLeast"/>
        <w:rPr>
          <w:rFonts w:ascii="Arial" w:eastAsiaTheme="majorEastAsia" w:hAnsi="Arial" w:cs="Arial"/>
          <w:b/>
          <w:bCs/>
          <w:sz w:val="32"/>
          <w:szCs w:val="24"/>
        </w:rPr>
      </w:pPr>
    </w:p>
    <w:p w14:paraId="3753199C" w14:textId="5483CF2D" w:rsidR="00BF0AFA" w:rsidRDefault="00BF0AFA" w:rsidP="00BC241D">
      <w:pPr>
        <w:tabs>
          <w:tab w:val="clear" w:pos="284"/>
          <w:tab w:val="clear" w:pos="567"/>
          <w:tab w:val="clear" w:pos="1276"/>
          <w:tab w:val="clear" w:pos="1985"/>
        </w:tabs>
        <w:spacing w:before="120" w:after="120" w:line="240" w:lineRule="atLeast"/>
        <w:rPr>
          <w:rFonts w:ascii="Arial" w:eastAsiaTheme="majorEastAsia" w:hAnsi="Arial" w:cs="Arial"/>
          <w:b/>
          <w:bCs/>
          <w:sz w:val="32"/>
          <w:szCs w:val="24"/>
        </w:rPr>
      </w:pPr>
    </w:p>
    <w:p w14:paraId="6432D6D8" w14:textId="77777777" w:rsidR="00BC241D" w:rsidRDefault="00BC241D">
      <w:pPr>
        <w:tabs>
          <w:tab w:val="clear" w:pos="284"/>
          <w:tab w:val="clear" w:pos="567"/>
          <w:tab w:val="clear" w:pos="1276"/>
          <w:tab w:val="clear" w:pos="1985"/>
        </w:tabs>
        <w:spacing w:before="120" w:after="120" w:line="240" w:lineRule="atLeast"/>
        <w:ind w:left="567"/>
        <w:rPr>
          <w:rFonts w:ascii="Arial" w:eastAsiaTheme="majorEastAsia" w:hAnsi="Arial" w:cs="Arial"/>
          <w:b/>
          <w:bCs/>
          <w:sz w:val="32"/>
          <w:szCs w:val="24"/>
        </w:rPr>
      </w:pPr>
      <w:r>
        <w:rPr>
          <w:b/>
          <w:bCs/>
        </w:rPr>
        <w:br w:type="page"/>
      </w:r>
    </w:p>
    <w:p w14:paraId="653A40DF" w14:textId="7A4C8262" w:rsidR="008F166B" w:rsidRPr="004A61DD" w:rsidRDefault="00CC15A7" w:rsidP="00FD54CC">
      <w:pPr>
        <w:pStyle w:val="Heading1"/>
        <w:numPr>
          <w:ilvl w:val="0"/>
          <w:numId w:val="0"/>
        </w:numPr>
        <w:ind w:left="567" w:hanging="567"/>
        <w:rPr>
          <w:b/>
          <w:bCs/>
        </w:rPr>
      </w:pPr>
      <w:bookmarkStart w:id="6" w:name="_Toc221724899"/>
      <w:r w:rsidRPr="004A61DD">
        <w:rPr>
          <w:b/>
          <w:bCs/>
        </w:rPr>
        <w:lastRenderedPageBreak/>
        <w:t>Natural Environment Bill</w:t>
      </w:r>
      <w:bookmarkEnd w:id="6"/>
      <w:r w:rsidRPr="004A61DD">
        <w:rPr>
          <w:b/>
          <w:bCs/>
        </w:rPr>
        <w:t xml:space="preserve"> </w:t>
      </w:r>
    </w:p>
    <w:p w14:paraId="2B3B8179" w14:textId="551302F1" w:rsidR="008765CE" w:rsidRDefault="008765CE" w:rsidP="00006E5C">
      <w:pPr>
        <w:pStyle w:val="NumStyle2Lev2"/>
        <w:numPr>
          <w:ilvl w:val="0"/>
          <w:numId w:val="0"/>
        </w:numPr>
      </w:pPr>
    </w:p>
    <w:p w14:paraId="115B4E14" w14:textId="47BB912A" w:rsidR="001F1D30" w:rsidRDefault="001776A8" w:rsidP="001F1D30">
      <w:pPr>
        <w:pStyle w:val="NumStyle2Lev2"/>
        <w:numPr>
          <w:ilvl w:val="0"/>
          <w:numId w:val="0"/>
        </w:numPr>
        <w:rPr>
          <w:i/>
          <w:iCs/>
        </w:rPr>
      </w:pPr>
      <w:r w:rsidRPr="001776A8">
        <w:rPr>
          <w:i/>
          <w:iCs/>
        </w:rPr>
        <w:t>Interpretation</w:t>
      </w:r>
      <w:r>
        <w:rPr>
          <w:i/>
          <w:iCs/>
        </w:rPr>
        <w:t xml:space="preserve"> - </w:t>
      </w:r>
      <w:r w:rsidR="00CC15A7" w:rsidRPr="006D2CA5">
        <w:rPr>
          <w:i/>
          <w:iCs/>
        </w:rPr>
        <w:t>Industrial or trade premises</w:t>
      </w:r>
    </w:p>
    <w:p w14:paraId="76CF08BD" w14:textId="76764337" w:rsidR="001F1D30" w:rsidRPr="003F39D0" w:rsidRDefault="00EC36F8" w:rsidP="001F1D30">
      <w:pPr>
        <w:pStyle w:val="NumStyle2Lev2"/>
        <w:rPr>
          <w:i/>
          <w:iCs/>
        </w:rPr>
      </w:pPr>
      <w:r>
        <w:t>Clauses</w:t>
      </w:r>
      <w:r w:rsidR="00CC15A7">
        <w:t xml:space="preserve"> 21(1)(c</w:t>
      </w:r>
      <w:r w:rsidR="4F6FD228">
        <w:t>)</w:t>
      </w:r>
      <w:r w:rsidR="146BC18D">
        <w:t xml:space="preserve"> and</w:t>
      </w:r>
      <w:r>
        <w:t xml:space="preserve"> </w:t>
      </w:r>
      <w:r w:rsidR="4F6FD228">
        <w:t>(</w:t>
      </w:r>
      <w:r w:rsidR="00CC15A7">
        <w:t>d) of the</w:t>
      </w:r>
      <w:r w:rsidR="00006E5C">
        <w:t xml:space="preserve"> Bill</w:t>
      </w:r>
      <w:r w:rsidR="00CC15A7">
        <w:t xml:space="preserve"> refer to discharges from “industrial or trade premises” but the term is undefined</w:t>
      </w:r>
      <w:r w:rsidR="006D2CA5">
        <w:t xml:space="preserve"> in </w:t>
      </w:r>
      <w:r w:rsidR="00B712AC">
        <w:t xml:space="preserve">clause </w:t>
      </w:r>
      <w:r w:rsidR="00AE77A5">
        <w:t>3 – Interpretations</w:t>
      </w:r>
      <w:r w:rsidR="00CC15A7">
        <w:t xml:space="preserve">. This is a specific class of activity defined in the </w:t>
      </w:r>
      <w:r w:rsidR="005D1D51">
        <w:t>RMA,</w:t>
      </w:r>
      <w:r w:rsidR="00CC15A7">
        <w:t xml:space="preserve"> and it is important that a definition is retained in the </w:t>
      </w:r>
      <w:r w:rsidR="0F1919FF">
        <w:t>Natural Environment</w:t>
      </w:r>
      <w:r w:rsidR="4F6FD228">
        <w:t xml:space="preserve"> Bill.</w:t>
      </w:r>
    </w:p>
    <w:p w14:paraId="3398B034" w14:textId="3AD95525" w:rsidR="001F1D30" w:rsidRPr="00A07075" w:rsidRDefault="00CC15A7" w:rsidP="00961601">
      <w:pPr>
        <w:pStyle w:val="NumStyle2Lev2"/>
        <w:rPr>
          <w:i/>
          <w:iCs/>
        </w:rPr>
      </w:pPr>
      <w:r>
        <w:t>The scope of industrial or trade premises and associated activities also requires narrowing to prevent it from being applied overly expansively. Industrial or trade premises (and the processes associated with such premises) are predicated on the manufacture and production of products from raw materials that create waste as a byproduct, including the storage of raw materials e.g. distribution and decanting of oils and solvents used in manufacturing processes. While the manufacture of the assets that are deployed on electricity networks</w:t>
      </w:r>
      <w:r w:rsidR="006D2CA5">
        <w:t>,</w:t>
      </w:r>
      <w:r>
        <w:t xml:space="preserve"> e.g. transformers and switches</w:t>
      </w:r>
      <w:r w:rsidR="006D2CA5">
        <w:t>,</w:t>
      </w:r>
      <w:r>
        <w:t xml:space="preserve"> is an industrial </w:t>
      </w:r>
      <w:r w:rsidR="006D2CA5">
        <w:t>or trade activity, their use on broadly reaching electricity networks is not appropriately classified as such an activity</w:t>
      </w:r>
      <w:r w:rsidR="00D33B6B">
        <w:t>. A</w:t>
      </w:r>
      <w:r w:rsidR="00A07075">
        <w:t xml:space="preserve">ny </w:t>
      </w:r>
      <w:r w:rsidR="006A0E2C">
        <w:t xml:space="preserve">controls or standards for electricity networks should be addressed </w:t>
      </w:r>
      <w:r w:rsidR="00D33B6B">
        <w:t xml:space="preserve">through activity-specific provisions </w:t>
      </w:r>
      <w:r w:rsidR="006A0E2C">
        <w:t>in the national standards</w:t>
      </w:r>
      <w:r w:rsidR="00D33B6B">
        <w:t xml:space="preserve"> instead of being broadly classed as industrial or trade premises</w:t>
      </w:r>
      <w:r w:rsidR="006539F2">
        <w:t xml:space="preserve"> which more appropriately apply to broader classes of industrial and commercial activities not related to infrastructure</w:t>
      </w:r>
      <w:r w:rsidR="006A0E2C">
        <w:t xml:space="preserve">.  </w:t>
      </w:r>
      <w:r w:rsidR="006D2CA5">
        <w:t xml:space="preserve">   </w:t>
      </w:r>
      <w:r>
        <w:t xml:space="preserve"> </w:t>
      </w:r>
    </w:p>
    <w:p w14:paraId="29172295" w14:textId="16E27B19" w:rsidR="00747F93" w:rsidRPr="00747F93" w:rsidRDefault="00CC15A7" w:rsidP="001F1D30">
      <w:pPr>
        <w:pStyle w:val="NumStyle2Lev2"/>
        <w:rPr>
          <w:i/>
          <w:iCs/>
        </w:rPr>
      </w:pPr>
      <w:r>
        <w:t xml:space="preserve">To ensure that there is sufficient </w:t>
      </w:r>
      <w:r w:rsidR="008F20C4">
        <w:t>clarity of the application of this activity classification</w:t>
      </w:r>
      <w:r>
        <w:t xml:space="preserve"> we suggest that the following amended RMA definition is carried into the</w:t>
      </w:r>
      <w:r w:rsidR="00006E5C">
        <w:t xml:space="preserve"> </w:t>
      </w:r>
      <w:r w:rsidR="000F0AD7">
        <w:t>Bill</w:t>
      </w:r>
      <w:r>
        <w:t>:</w:t>
      </w:r>
    </w:p>
    <w:p w14:paraId="14DC3D1E" w14:textId="5E795309" w:rsidR="00510A92" w:rsidRPr="00510A92" w:rsidRDefault="00CC15A7" w:rsidP="00510A92">
      <w:pPr>
        <w:pStyle w:val="NumStyle2Lev2"/>
        <w:numPr>
          <w:ilvl w:val="0"/>
          <w:numId w:val="0"/>
        </w:numPr>
        <w:ind w:left="567"/>
        <w:rPr>
          <w:color w:val="FF0000"/>
          <w:u w:val="single"/>
        </w:rPr>
      </w:pPr>
      <w:r w:rsidRPr="00510A92">
        <w:rPr>
          <w:b/>
          <w:bCs/>
          <w:i/>
          <w:iCs/>
          <w:color w:val="FF0000"/>
          <w:u w:val="single"/>
        </w:rPr>
        <w:t xml:space="preserve">Industrial or trade premises </w:t>
      </w:r>
      <w:r w:rsidRPr="00510A92">
        <w:rPr>
          <w:i/>
          <w:iCs/>
          <w:color w:val="FF0000"/>
          <w:u w:val="single"/>
        </w:rPr>
        <w:t xml:space="preserve">means– </w:t>
      </w:r>
    </w:p>
    <w:p w14:paraId="60216CAE" w14:textId="77777777" w:rsidR="00510A92" w:rsidRPr="00510A92" w:rsidRDefault="00CC15A7" w:rsidP="00510A92">
      <w:pPr>
        <w:pStyle w:val="NumStyle2Lev2"/>
        <w:numPr>
          <w:ilvl w:val="0"/>
          <w:numId w:val="0"/>
        </w:numPr>
        <w:ind w:left="567"/>
        <w:rPr>
          <w:color w:val="FF0000"/>
          <w:u w:val="single"/>
        </w:rPr>
      </w:pPr>
      <w:r w:rsidRPr="00510A92">
        <w:rPr>
          <w:i/>
          <w:iCs/>
          <w:color w:val="FF0000"/>
          <w:u w:val="single"/>
        </w:rPr>
        <w:t xml:space="preserve">(a) any premises used for any industrial or trade purposes; or </w:t>
      </w:r>
    </w:p>
    <w:p w14:paraId="7D5345AB" w14:textId="77777777" w:rsidR="00510A92" w:rsidRPr="00510A92" w:rsidRDefault="00CC15A7" w:rsidP="00510A92">
      <w:pPr>
        <w:pStyle w:val="NumStyle2Lev2"/>
        <w:numPr>
          <w:ilvl w:val="0"/>
          <w:numId w:val="0"/>
        </w:numPr>
        <w:ind w:left="567"/>
        <w:rPr>
          <w:color w:val="FF0000"/>
          <w:u w:val="single"/>
        </w:rPr>
      </w:pPr>
      <w:r w:rsidRPr="00510A92">
        <w:rPr>
          <w:i/>
          <w:iCs/>
          <w:color w:val="FF0000"/>
          <w:u w:val="single"/>
        </w:rPr>
        <w:t xml:space="preserve">(b) any premises used for the storage, transfer, treatment, or disposal of waste materials or for other waste-management purposes, or used for composting organic material; or </w:t>
      </w:r>
    </w:p>
    <w:p w14:paraId="7331BDEE" w14:textId="77777777" w:rsidR="00510A92" w:rsidRPr="00510A92" w:rsidRDefault="00CC15A7" w:rsidP="00510A92">
      <w:pPr>
        <w:pStyle w:val="NumStyle2Lev2"/>
        <w:numPr>
          <w:ilvl w:val="0"/>
          <w:numId w:val="0"/>
        </w:numPr>
        <w:ind w:left="567"/>
        <w:rPr>
          <w:i/>
          <w:iCs/>
          <w:color w:val="FF0000"/>
          <w:u w:val="single"/>
        </w:rPr>
      </w:pPr>
      <w:r w:rsidRPr="00510A92">
        <w:rPr>
          <w:i/>
          <w:iCs/>
          <w:color w:val="FF0000"/>
          <w:u w:val="single"/>
        </w:rPr>
        <w:t>(c) any other premises from which a contaminant is discharged in connection with any industrial or trade process;–</w:t>
      </w:r>
    </w:p>
    <w:p w14:paraId="03AC9722" w14:textId="106D6862" w:rsidR="001F1D30" w:rsidRPr="00510A92" w:rsidRDefault="00CC15A7" w:rsidP="00510A92">
      <w:pPr>
        <w:pStyle w:val="NumStyle2Lev2"/>
        <w:numPr>
          <w:ilvl w:val="0"/>
          <w:numId w:val="0"/>
        </w:numPr>
        <w:ind w:left="567"/>
        <w:rPr>
          <w:i/>
          <w:iCs/>
          <w:color w:val="FF0000"/>
          <w:u w:val="single"/>
        </w:rPr>
      </w:pPr>
      <w:r w:rsidRPr="00510A92">
        <w:rPr>
          <w:i/>
          <w:iCs/>
          <w:color w:val="FF0000"/>
          <w:u w:val="single"/>
        </w:rPr>
        <w:t xml:space="preserve">But does not include any production land </w:t>
      </w:r>
      <w:r w:rsidRPr="00510A92">
        <w:rPr>
          <w:b/>
          <w:bCs/>
          <w:i/>
          <w:iCs/>
          <w:color w:val="FF0000"/>
          <w:u w:val="single"/>
        </w:rPr>
        <w:t xml:space="preserve">or </w:t>
      </w:r>
      <w:r w:rsidR="00826398">
        <w:rPr>
          <w:b/>
          <w:bCs/>
          <w:i/>
          <w:iCs/>
          <w:color w:val="FF0000"/>
          <w:u w:val="single"/>
        </w:rPr>
        <w:t xml:space="preserve">any </w:t>
      </w:r>
      <w:r w:rsidRPr="00510A92">
        <w:rPr>
          <w:b/>
          <w:bCs/>
          <w:i/>
          <w:iCs/>
          <w:color w:val="FF0000"/>
          <w:u w:val="single"/>
        </w:rPr>
        <w:t>part of an electricity network.</w:t>
      </w:r>
    </w:p>
    <w:p w14:paraId="72DFA5F3" w14:textId="77777777" w:rsidR="00013AAF" w:rsidRPr="00013AAF" w:rsidRDefault="001776A8" w:rsidP="00013AAF">
      <w:pPr>
        <w:pStyle w:val="NumStyle2Lev2"/>
        <w:numPr>
          <w:ilvl w:val="0"/>
          <w:numId w:val="0"/>
        </w:numPr>
        <w:ind w:left="567" w:hanging="567"/>
      </w:pPr>
      <w:r w:rsidRPr="001776A8">
        <w:rPr>
          <w:i/>
          <w:iCs/>
        </w:rPr>
        <w:t>Goals</w:t>
      </w:r>
    </w:p>
    <w:p w14:paraId="6DAA5F8C" w14:textId="71840092" w:rsidR="000F7541" w:rsidRPr="001776A8" w:rsidRDefault="000A01D3" w:rsidP="001776A8">
      <w:pPr>
        <w:pStyle w:val="NumStyle2Lev2"/>
      </w:pPr>
      <w:r>
        <w:t xml:space="preserve">Clause 86 envisages </w:t>
      </w:r>
      <w:r w:rsidR="00617D8C">
        <w:t xml:space="preserve">infrastructure providers being able to breach environmental limits however </w:t>
      </w:r>
      <w:r w:rsidR="003C11B5">
        <w:t>the only goal in the Bill relating to use and development (</w:t>
      </w:r>
      <w:r w:rsidR="413374BE">
        <w:t>g</w:t>
      </w:r>
      <w:r w:rsidR="003C11B5">
        <w:t>oal</w:t>
      </w:r>
      <w:r w:rsidR="005C11D3">
        <w:t xml:space="preserve"> (a)</w:t>
      </w:r>
      <w:r w:rsidR="003C11B5">
        <w:t xml:space="preserve">) is “to enable the use and development of natural resources within environmental limits”. This </w:t>
      </w:r>
      <w:r w:rsidR="009E2231">
        <w:t xml:space="preserve">creates a disconnect and potential barrier to </w:t>
      </w:r>
      <w:r w:rsidR="00E05F1C">
        <w:t xml:space="preserve">permit </w:t>
      </w:r>
      <w:r w:rsidR="009E2231">
        <w:t xml:space="preserve">applications where environmental limits may need to be breached, such as those related to </w:t>
      </w:r>
      <w:r w:rsidR="00F30083">
        <w:t xml:space="preserve">the construction upgrade and maintenance of </w:t>
      </w:r>
      <w:r w:rsidR="00E05F1C">
        <w:t>electricity networks in significant natural areas</w:t>
      </w:r>
      <w:r w:rsidR="0003445A">
        <w:t xml:space="preserve">. To ensure that a pathway exists in the goals for environmental limits to be breached where necessary we propose the addition of </w:t>
      </w:r>
      <w:r w:rsidR="00E75A6A">
        <w:t xml:space="preserve">a goal </w:t>
      </w:r>
      <w:r w:rsidR="00E75A6A" w:rsidRPr="4218F192">
        <w:rPr>
          <w:i/>
          <w:iCs/>
          <w:color w:val="FF0000"/>
          <w:u w:val="single"/>
        </w:rPr>
        <w:t>“to enable the use and development of natural resources for infrastructure”.</w:t>
      </w:r>
      <w:r w:rsidR="00E75A6A" w:rsidRPr="4218F192">
        <w:rPr>
          <w:color w:val="FF0000"/>
        </w:rPr>
        <w:t xml:space="preserve"> </w:t>
      </w:r>
      <w:r w:rsidR="0003445A" w:rsidRPr="4218F192">
        <w:rPr>
          <w:color w:val="FF0000"/>
        </w:rPr>
        <w:t xml:space="preserve"> </w:t>
      </w:r>
    </w:p>
    <w:p w14:paraId="64F131AB" w14:textId="77777777" w:rsidR="001776A8" w:rsidRDefault="001776A8" w:rsidP="000F7541">
      <w:pPr>
        <w:pStyle w:val="Default"/>
        <w:rPr>
          <w:sz w:val="20"/>
          <w:szCs w:val="20"/>
        </w:rPr>
      </w:pPr>
    </w:p>
    <w:p w14:paraId="7D9A1F28" w14:textId="77777777" w:rsidR="008A3BF9" w:rsidRPr="008A3BF9" w:rsidRDefault="00CC15A7" w:rsidP="008A3BF9">
      <w:pPr>
        <w:pStyle w:val="Default"/>
        <w:rPr>
          <w:i/>
          <w:iCs/>
          <w:sz w:val="20"/>
          <w:szCs w:val="20"/>
        </w:rPr>
      </w:pPr>
      <w:r w:rsidRPr="008A3BF9">
        <w:rPr>
          <w:i/>
          <w:iCs/>
          <w:sz w:val="20"/>
          <w:szCs w:val="20"/>
        </w:rPr>
        <w:t xml:space="preserve">Environmental Limits </w:t>
      </w:r>
    </w:p>
    <w:p w14:paraId="58FBF0C7" w14:textId="77777777" w:rsidR="008A3BF9" w:rsidRDefault="008A3BF9" w:rsidP="008A3BF9">
      <w:pPr>
        <w:pStyle w:val="Default"/>
        <w:rPr>
          <w:sz w:val="20"/>
          <w:szCs w:val="20"/>
        </w:rPr>
      </w:pPr>
    </w:p>
    <w:p w14:paraId="1CAA3333" w14:textId="19FE5F90" w:rsidR="008A3BF9" w:rsidRDefault="00CC15A7" w:rsidP="008A3BF9">
      <w:pPr>
        <w:pStyle w:val="NumStyle2Lev2"/>
      </w:pPr>
      <w:r>
        <w:t xml:space="preserve">The Natural Environment Bill sets environmental limits to protect human health and the life-supporting capacity of the natural environment. Regional councils will set ecosystem health limits, whereas human health limits will be set nationally. To avoid breaching environmental limits, national standards may require regional councils to implement an action plan, a cap </w:t>
      </w:r>
      <w:r>
        <w:lastRenderedPageBreak/>
        <w:t xml:space="preserve">on resource use, or both. If an environmental limit is breached, this breach must be notified, and an action plan must be created to detail how the breach will be remedied. </w:t>
      </w:r>
    </w:p>
    <w:p w14:paraId="2FF49691" w14:textId="1B4534F5" w:rsidR="008A3BF9" w:rsidRPr="008A3BF9" w:rsidRDefault="00CC15A7" w:rsidP="008A3BF9">
      <w:pPr>
        <w:pStyle w:val="NumStyle2Lev2"/>
      </w:pPr>
      <w:r>
        <w:t xml:space="preserve">National standards are able to create a consenting pathway for "significant" infrastructure that may breach environmental limits. This is essential in ensuring that critical infrastructure has a consenting pathway, however, it is important that the qualifier of "significant" is removed as there is likely to be dispute over what this term means, and the restriction is unnecessary considering that the pathway will be narrowed by national standards. We recommend an amendment to </w:t>
      </w:r>
      <w:r w:rsidR="001E1914">
        <w:t xml:space="preserve">clause </w:t>
      </w:r>
      <w:r>
        <w:t xml:space="preserve">86 as follows: </w:t>
      </w:r>
    </w:p>
    <w:p w14:paraId="3AAFB7CD" w14:textId="77777777" w:rsidR="008A3BF9" w:rsidRDefault="00CC15A7" w:rsidP="008A3BF9">
      <w:pPr>
        <w:pStyle w:val="Default"/>
        <w:ind w:left="1287"/>
        <w:rPr>
          <w:i/>
          <w:iCs/>
          <w:sz w:val="20"/>
          <w:szCs w:val="20"/>
        </w:rPr>
      </w:pPr>
      <w:r>
        <w:rPr>
          <w:i/>
          <w:iCs/>
          <w:sz w:val="20"/>
          <w:szCs w:val="20"/>
        </w:rPr>
        <w:t xml:space="preserve">(1) National standards may establish a consenting pathway for </w:t>
      </w:r>
      <w:r w:rsidRPr="008A3BF9">
        <w:rPr>
          <w:i/>
          <w:iCs/>
          <w:strike/>
          <w:color w:val="FF0000"/>
          <w:sz w:val="20"/>
          <w:szCs w:val="20"/>
        </w:rPr>
        <w:t>significant</w:t>
      </w:r>
      <w:r>
        <w:rPr>
          <w:i/>
          <w:iCs/>
          <w:color w:val="FF0000"/>
          <w:sz w:val="20"/>
          <w:szCs w:val="20"/>
        </w:rPr>
        <w:t xml:space="preserve"> </w:t>
      </w:r>
      <w:r>
        <w:rPr>
          <w:i/>
          <w:iCs/>
          <w:sz w:val="20"/>
          <w:szCs w:val="20"/>
        </w:rPr>
        <w:t xml:space="preserve">infrastructure activities that breach or are likely to breach environmental limits </w:t>
      </w:r>
    </w:p>
    <w:p w14:paraId="49BA0334" w14:textId="77777777" w:rsidR="008A3BF9" w:rsidRDefault="008A3BF9" w:rsidP="008A3BF9">
      <w:pPr>
        <w:pStyle w:val="Default"/>
        <w:rPr>
          <w:sz w:val="20"/>
          <w:szCs w:val="20"/>
        </w:rPr>
      </w:pPr>
    </w:p>
    <w:p w14:paraId="7AFB79C3" w14:textId="626AF514" w:rsidR="000A31F5" w:rsidRDefault="000A31F5" w:rsidP="000A31F5">
      <w:pPr>
        <w:pStyle w:val="NumStyle2Lev2"/>
        <w:numPr>
          <w:ilvl w:val="0"/>
          <w:numId w:val="0"/>
        </w:numPr>
        <w:ind w:left="567" w:hanging="567"/>
        <w:rPr>
          <w:i/>
          <w:iCs/>
        </w:rPr>
      </w:pPr>
      <w:r>
        <w:rPr>
          <w:i/>
          <w:iCs/>
        </w:rPr>
        <w:t>Permit processing timeframes:</w:t>
      </w:r>
    </w:p>
    <w:p w14:paraId="3C1164B6" w14:textId="7B9B3FA9" w:rsidR="000A31F5" w:rsidRDefault="00872271" w:rsidP="000A31F5">
      <w:pPr>
        <w:pStyle w:val="NumStyle2Lev2"/>
      </w:pPr>
      <w:r>
        <w:t>In line with our comments on the Planning Bill, w</w:t>
      </w:r>
      <w:r w:rsidR="000A31F5">
        <w:t xml:space="preserve">e recommend the following amendment to clause </w:t>
      </w:r>
      <w:r w:rsidR="000A31F5" w:rsidRPr="00946B1E">
        <w:t>1</w:t>
      </w:r>
      <w:r>
        <w:t>38</w:t>
      </w:r>
      <w:r w:rsidR="000A31F5" w:rsidRPr="00946B1E">
        <w:t>(1)(b)</w:t>
      </w:r>
      <w:r w:rsidR="000A31F5">
        <w:t xml:space="preserve"> to clarify the scope and intent of the processing timeframes. </w:t>
      </w:r>
    </w:p>
    <w:p w14:paraId="02515E28" w14:textId="1F9807DB" w:rsidR="000A31F5" w:rsidRPr="00FF5CC2" w:rsidRDefault="000A31F5" w:rsidP="4218F192">
      <w:pPr>
        <w:pStyle w:val="NumStyle2Lev3"/>
        <w:numPr>
          <w:ilvl w:val="0"/>
          <w:numId w:val="0"/>
        </w:numPr>
        <w:ind w:left="1134"/>
        <w:rPr>
          <w:i/>
          <w:iCs/>
        </w:rPr>
      </w:pPr>
      <w:r w:rsidRPr="4218F192">
        <w:rPr>
          <w:i/>
          <w:iCs/>
        </w:rPr>
        <w:t xml:space="preserve">(1) The maximum processing time frames for applications for </w:t>
      </w:r>
      <w:r w:rsidR="00611277" w:rsidRPr="4218F192">
        <w:rPr>
          <w:i/>
          <w:iCs/>
        </w:rPr>
        <w:t>nat</w:t>
      </w:r>
      <w:r w:rsidR="00992E8D" w:rsidRPr="4218F192">
        <w:rPr>
          <w:i/>
          <w:iCs/>
        </w:rPr>
        <w:t>u</w:t>
      </w:r>
      <w:r w:rsidR="00611277" w:rsidRPr="4218F192">
        <w:rPr>
          <w:i/>
          <w:iCs/>
        </w:rPr>
        <w:t xml:space="preserve">ral resource permits </w:t>
      </w:r>
      <w:r w:rsidRPr="4218F192">
        <w:rPr>
          <w:i/>
          <w:iCs/>
        </w:rPr>
        <w:t>—</w:t>
      </w:r>
    </w:p>
    <w:p w14:paraId="0695D550" w14:textId="77777777" w:rsidR="000A31F5" w:rsidRDefault="000A31F5" w:rsidP="000A31F5">
      <w:pPr>
        <w:pStyle w:val="NumStyle2Lev3"/>
        <w:numPr>
          <w:ilvl w:val="0"/>
          <w:numId w:val="0"/>
        </w:numPr>
        <w:ind w:left="1134"/>
        <w:rPr>
          <w:i/>
          <w:iCs/>
        </w:rPr>
      </w:pPr>
      <w:r>
        <w:rPr>
          <w:i/>
          <w:iCs/>
        </w:rPr>
        <w:tab/>
      </w:r>
      <w:r w:rsidRPr="00FF5CC2">
        <w:rPr>
          <w:i/>
          <w:iCs/>
        </w:rPr>
        <w:t>(a) are set out in the table in subsection (3); and</w:t>
      </w:r>
    </w:p>
    <w:p w14:paraId="3D251B0F" w14:textId="77777777" w:rsidR="000A31F5" w:rsidRPr="00FF5CC2" w:rsidRDefault="000A31F5" w:rsidP="000A31F5">
      <w:pPr>
        <w:pStyle w:val="NumStyle2Lev3"/>
        <w:numPr>
          <w:ilvl w:val="0"/>
          <w:numId w:val="0"/>
        </w:numPr>
        <w:ind w:left="1134"/>
        <w:rPr>
          <w:i/>
          <w:iCs/>
        </w:rPr>
      </w:pPr>
      <w:r>
        <w:rPr>
          <w:rFonts w:eastAsia="TimesNewRomanPSMT"/>
        </w:rPr>
        <w:tab/>
        <w:t>(b) are subject to</w:t>
      </w:r>
      <w:r>
        <w:rPr>
          <w:rFonts w:eastAsia="TimesNewRomanPSMT" w:hint="eastAsia"/>
        </w:rPr>
        <w:t>—</w:t>
      </w:r>
    </w:p>
    <w:p w14:paraId="538BD35F" w14:textId="77777777" w:rsidR="000A31F5" w:rsidRDefault="000A31F5" w:rsidP="000A31F5">
      <w:pPr>
        <w:pStyle w:val="NumStyle2Lev3"/>
        <w:numPr>
          <w:ilvl w:val="0"/>
          <w:numId w:val="0"/>
        </w:numPr>
        <w:ind w:left="1134"/>
        <w:rPr>
          <w:rFonts w:eastAsia="TimesNewRomanPSMT"/>
        </w:rPr>
      </w:pPr>
      <w:r>
        <w:rPr>
          <w:rFonts w:eastAsia="TimesNewRomanPSMT"/>
        </w:rPr>
        <w:tab/>
      </w:r>
      <w:r>
        <w:rPr>
          <w:rFonts w:eastAsia="TimesNewRomanPSMT"/>
        </w:rPr>
        <w:tab/>
        <w:t>(i) other provisions of this Act; and</w:t>
      </w:r>
    </w:p>
    <w:p w14:paraId="3638D8A0" w14:textId="431709A9" w:rsidR="000A31F5" w:rsidRDefault="000A31F5" w:rsidP="000A31F5">
      <w:pPr>
        <w:pStyle w:val="NumStyle2Lev3"/>
        <w:numPr>
          <w:ilvl w:val="0"/>
          <w:numId w:val="0"/>
        </w:numPr>
        <w:ind w:left="2160"/>
        <w:rPr>
          <w:rFonts w:eastAsia="TimesNewRomanPSMT"/>
        </w:rPr>
      </w:pPr>
      <w:r>
        <w:rPr>
          <w:rFonts w:eastAsia="TimesNewRomanPSMT"/>
        </w:rPr>
        <w:t xml:space="preserve">(ii) any time frames and excluded time periods prescribed by regulations made under </w:t>
      </w:r>
      <w:r>
        <w:rPr>
          <w:rFonts w:ascii="Arial-Black" w:eastAsia="TimesNewRomanPSMT" w:hAnsi="Arial-Black" w:cs="Arial-Black"/>
          <w:sz w:val="20"/>
          <w:szCs w:val="20"/>
        </w:rPr>
        <w:t xml:space="preserve">section </w:t>
      </w:r>
      <w:r w:rsidR="00992E8D">
        <w:rPr>
          <w:rFonts w:ascii="Arial-Black" w:eastAsia="TimesNewRomanPSMT" w:hAnsi="Arial-Black" w:cs="Arial-Black"/>
          <w:sz w:val="20"/>
          <w:szCs w:val="20"/>
        </w:rPr>
        <w:t>308</w:t>
      </w:r>
      <w:r>
        <w:rPr>
          <w:rFonts w:eastAsia="TimesNewRomanPSMT"/>
        </w:rPr>
        <w:t>.</w:t>
      </w:r>
    </w:p>
    <w:p w14:paraId="3DDB484B" w14:textId="77777777" w:rsidR="000A31F5" w:rsidRPr="00FF5CC2" w:rsidRDefault="000A31F5" w:rsidP="000A31F5">
      <w:pPr>
        <w:pStyle w:val="NumStyle2Lev3"/>
        <w:numPr>
          <w:ilvl w:val="0"/>
          <w:numId w:val="0"/>
        </w:numPr>
        <w:ind w:left="2154" w:hanging="1020"/>
        <w:rPr>
          <w:rFonts w:eastAsia="TimesNewRomanPSMT"/>
          <w:color w:val="FF0000"/>
          <w:u w:val="single"/>
        </w:rPr>
      </w:pPr>
      <w:r w:rsidRPr="00BC241D">
        <w:rPr>
          <w:rFonts w:eastAsia="TimesNewRomanPSMT"/>
          <w:color w:val="FF0000"/>
        </w:rPr>
        <w:tab/>
      </w:r>
      <w:r w:rsidRPr="00FF5CC2">
        <w:rPr>
          <w:rFonts w:eastAsia="TimesNewRomanPSMT"/>
          <w:color w:val="FF0000"/>
          <w:u w:val="single"/>
        </w:rPr>
        <w:t>(iii) any maximum timeframes for applications for particular activities set out in national instruments.</w:t>
      </w:r>
    </w:p>
    <w:p w14:paraId="175B93E0" w14:textId="7BC1C39F" w:rsidR="003419C2" w:rsidRPr="008A3BF9" w:rsidRDefault="00CC15A7" w:rsidP="008A3BF9">
      <w:pPr>
        <w:pStyle w:val="NumStyle2Lev2"/>
        <w:numPr>
          <w:ilvl w:val="0"/>
          <w:numId w:val="0"/>
        </w:numPr>
        <w:rPr>
          <w:i/>
          <w:iCs/>
        </w:rPr>
      </w:pPr>
      <w:r w:rsidRPr="008A3BF9">
        <w:rPr>
          <w:i/>
          <w:iCs/>
        </w:rPr>
        <w:t xml:space="preserve">Durations of permits for long lived infrastructure  </w:t>
      </w:r>
    </w:p>
    <w:p w14:paraId="7069EF4F" w14:textId="7016DE51" w:rsidR="00EF2792" w:rsidRPr="00EF2792" w:rsidRDefault="00CC15A7" w:rsidP="4218F192">
      <w:pPr>
        <w:pStyle w:val="NumStyle2Lev2"/>
        <w:rPr>
          <w:i/>
          <w:iCs/>
        </w:rPr>
      </w:pPr>
      <w:r>
        <w:t>The</w:t>
      </w:r>
      <w:r w:rsidR="00195551">
        <w:t xml:space="preserve"> Bill</w:t>
      </w:r>
      <w:r>
        <w:t xml:space="preserve"> allows coastal occupation permits to have a duration of </w:t>
      </w:r>
      <w:r w:rsidR="00195551">
        <w:t>no less than</w:t>
      </w:r>
      <w:r>
        <w:t xml:space="preserve"> 35 years (</w:t>
      </w:r>
      <w:r w:rsidR="007442AB">
        <w:t xml:space="preserve">clause </w:t>
      </w:r>
      <w:r>
        <w:t xml:space="preserve">179(1)(2) and </w:t>
      </w:r>
      <w:r w:rsidR="00DA299D">
        <w:t xml:space="preserve">no more than </w:t>
      </w:r>
      <w:r>
        <w:t>50 years (</w:t>
      </w:r>
      <w:r w:rsidR="007442AB">
        <w:t xml:space="preserve">clause </w:t>
      </w:r>
      <w:r>
        <w:t>179(4)(a</w:t>
      </w:r>
      <w:r w:rsidR="5D33E061">
        <w:t>)</w:t>
      </w:r>
      <w:r w:rsidR="34587499">
        <w:t>)</w:t>
      </w:r>
      <w:r w:rsidR="5D33E061">
        <w:t>.</w:t>
      </w:r>
      <w:r>
        <w:t xml:space="preserve"> We support increasing the duration beyond the 35-year maximum duration provided for under the RMA</w:t>
      </w:r>
      <w:r w:rsidR="0096588D">
        <w:t xml:space="preserve">, however we question the necessity for a fixed </w:t>
      </w:r>
      <w:r w:rsidR="00195551">
        <w:t xml:space="preserve">maximum </w:t>
      </w:r>
      <w:r w:rsidR="0096588D">
        <w:t xml:space="preserve">duration on permanent assets with </w:t>
      </w:r>
      <w:r w:rsidR="006328E6">
        <w:t>projected</w:t>
      </w:r>
      <w:r w:rsidR="0096588D">
        <w:t xml:space="preserve"> operational life</w:t>
      </w:r>
      <w:r w:rsidR="006328E6">
        <w:t xml:space="preserve">spans in excess of fifty years. </w:t>
      </w:r>
      <w:r>
        <w:t xml:space="preserve"> </w:t>
      </w:r>
    </w:p>
    <w:p w14:paraId="5550A2C4" w14:textId="3E62D3F3" w:rsidR="00C8093E" w:rsidRDefault="00CC15A7" w:rsidP="00C8093E">
      <w:pPr>
        <w:pStyle w:val="NumStyle2Lev2"/>
      </w:pPr>
      <w:r>
        <w:t>Vector constructs and operates assets in the coastal marine environment as a routine part of distributing electricity to Auckland’s coastal residents. Depending on the required configuration, this can include constructing or upgrading poles carrying overhead circuits but more commonly involves the installation of submarine cables required to:</w:t>
      </w:r>
    </w:p>
    <w:p w14:paraId="1181203C" w14:textId="1D12697A" w:rsidR="00C8093E" w:rsidRDefault="00CC15A7" w:rsidP="00CF42D9">
      <w:pPr>
        <w:pStyle w:val="NumStyle2Lev4"/>
      </w:pPr>
      <w:r>
        <w:t>Add supply diversity and resilience to coastal communities where a landward route is not practicable / feasible such as high voltage electricity circuits between two areas of coastal headland</w:t>
      </w:r>
      <w:r w:rsidR="005C58A4">
        <w:t>;</w:t>
      </w:r>
      <w:r>
        <w:t xml:space="preserve"> </w:t>
      </w:r>
    </w:p>
    <w:p w14:paraId="21BE47E9" w14:textId="41F409F0" w:rsidR="00C8093E" w:rsidRDefault="00CC15A7" w:rsidP="00CF42D9">
      <w:pPr>
        <w:pStyle w:val="NumStyle2Lev4"/>
      </w:pPr>
      <w:r>
        <w:t>Construct new, or replace / upgrade existing high voltage electricity circuits to offshore communities such as Waiheke Island to either increase capacity or security of electricity supply</w:t>
      </w:r>
      <w:r w:rsidR="005C58A4">
        <w:t>; or</w:t>
      </w:r>
      <w:r>
        <w:t xml:space="preserve"> </w:t>
      </w:r>
    </w:p>
    <w:p w14:paraId="1BD96C45" w14:textId="77777777" w:rsidR="00C8093E" w:rsidRDefault="00CC15A7" w:rsidP="00CF42D9">
      <w:pPr>
        <w:pStyle w:val="NumStyle2Lev4"/>
      </w:pPr>
      <w:r>
        <w:t xml:space="preserve">Cross landward sections of the coastal marine area such as coastal tributaries where these are otherwise indistinguishable from inland river crossings. </w:t>
      </w:r>
    </w:p>
    <w:p w14:paraId="7F1B5680" w14:textId="690B6809" w:rsidR="00C8093E" w:rsidRDefault="00CC15A7" w:rsidP="00C8093E">
      <w:pPr>
        <w:pStyle w:val="NumStyle2Lev2"/>
      </w:pPr>
      <w:r>
        <w:lastRenderedPageBreak/>
        <w:t xml:space="preserve">These high-voltage </w:t>
      </w:r>
      <w:r w:rsidR="006328E6">
        <w:t xml:space="preserve">cables </w:t>
      </w:r>
      <w:r>
        <w:t xml:space="preserve">are usually subtransmission circuits between major substation sites or otherwise provide necessary capacity and security of supply to large catchments of residents, providing significant public </w:t>
      </w:r>
      <w:r w:rsidR="00234D6C">
        <w:t xml:space="preserve">benefit to those residents. </w:t>
      </w:r>
      <w:r>
        <w:t xml:space="preserve"> </w:t>
      </w:r>
    </w:p>
    <w:p w14:paraId="5E9EA9CC" w14:textId="5B8B3121" w:rsidR="00C8093E" w:rsidRDefault="00CC15A7" w:rsidP="00234D6C">
      <w:pPr>
        <w:pStyle w:val="NumStyle2Lev2"/>
      </w:pPr>
      <w:r>
        <w:t>In all cases, these are long-lived infrastructure assets with projected lifespans of more than fifty years. The function or service provided by the asset, notwithstanding the occasional replacement of the physical components of the asset, has no projected duration or end date. For example, a submarine cable between the mainland and an island community is a permanent service that cannot simply be removed once installed</w:t>
      </w:r>
      <w:r w:rsidR="00234D6C">
        <w:t xml:space="preserve"> because the residents are dependent on the function provided by the asset and the network operator has a regulatory obligation to maintain supply in perpetuity. </w:t>
      </w:r>
    </w:p>
    <w:p w14:paraId="22DE221D" w14:textId="77ACE1E4" w:rsidR="00573773" w:rsidRPr="00EF2792" w:rsidRDefault="00CC15A7" w:rsidP="00EF2792">
      <w:pPr>
        <w:pStyle w:val="NumStyle2Lev2"/>
      </w:pPr>
      <w:r>
        <w:t xml:space="preserve">During normal operation, submarine cables have no ongoing </w:t>
      </w:r>
      <w:r w:rsidR="004F4322">
        <w:t>environmental</w:t>
      </w:r>
      <w:r w:rsidR="00B67845">
        <w:t xml:space="preserve"> effect</w:t>
      </w:r>
      <w:r>
        <w:t>.</w:t>
      </w:r>
      <w:r w:rsidR="004F4322">
        <w:t xml:space="preserve"> </w:t>
      </w:r>
      <w:r w:rsidR="00C8093E">
        <w:t xml:space="preserve">In the event of an upgrade being proposed, a permit to </w:t>
      </w:r>
      <w:r w:rsidR="004F4322">
        <w:t xml:space="preserve">further </w:t>
      </w:r>
      <w:r w:rsidR="00C8093E">
        <w:t>disturb the seabed would be required at which point any actual or potential environmental effects are able to be</w:t>
      </w:r>
      <w:r w:rsidR="004F4322">
        <w:t xml:space="preserve"> addressed in a </w:t>
      </w:r>
      <w:r w:rsidR="00EF2792">
        <w:t xml:space="preserve">discreet application addressing the effects of the construction activity.  </w:t>
      </w:r>
      <w:r w:rsidR="00C8093E">
        <w:t xml:space="preserve"> </w:t>
      </w:r>
    </w:p>
    <w:p w14:paraId="7203A056" w14:textId="70C912EB" w:rsidR="003419C2" w:rsidRDefault="00CC15A7" w:rsidP="003419C2">
      <w:pPr>
        <w:pStyle w:val="NumStyle2Lev2"/>
        <w:rPr>
          <w:i/>
          <w:iCs/>
        </w:rPr>
      </w:pPr>
      <w:r>
        <w:t>W</w:t>
      </w:r>
      <w:r w:rsidR="00542F43">
        <w:t xml:space="preserve">e question the </w:t>
      </w:r>
      <w:r w:rsidR="00822935">
        <w:t xml:space="preserve">utility of imposing </w:t>
      </w:r>
      <w:r w:rsidR="004B1F94">
        <w:t xml:space="preserve">a maximum 50-year duration for assets that, once installed, have no ongoing impact </w:t>
      </w:r>
      <w:r w:rsidR="003C4CC2">
        <w:t>on coastal</w:t>
      </w:r>
      <w:r w:rsidR="00822935">
        <w:t xml:space="preserve"> processes as part of their </w:t>
      </w:r>
      <w:r w:rsidR="009436C7">
        <w:t>normal</w:t>
      </w:r>
      <w:r w:rsidR="00822935">
        <w:t xml:space="preserve"> operation and for which effects can be appropriately addressed </w:t>
      </w:r>
      <w:r w:rsidR="0096588D">
        <w:t xml:space="preserve">at the time they are repaired, upgraded or replaced. </w:t>
      </w:r>
      <w:r w:rsidR="00C229B9">
        <w:t xml:space="preserve">When, at the end of the </w:t>
      </w:r>
      <w:r w:rsidR="00BC50BA">
        <w:t>50-</w:t>
      </w:r>
      <w:r w:rsidR="00C229B9">
        <w:t xml:space="preserve">year duration, the activity </w:t>
      </w:r>
      <w:r w:rsidR="00451D16">
        <w:t xml:space="preserve">and associated occupation </w:t>
      </w:r>
      <w:r w:rsidR="00BC50BA">
        <w:t xml:space="preserve">are predictably </w:t>
      </w:r>
      <w:r w:rsidR="00451D16">
        <w:t xml:space="preserve">required to continue, this results in further cost and administration to </w:t>
      </w:r>
      <w:r w:rsidR="002C50C3">
        <w:t>simply continue a long-standing low-impact activity.</w:t>
      </w:r>
      <w:r w:rsidR="00F4063F">
        <w:t xml:space="preserve"> </w:t>
      </w:r>
      <w:r w:rsidR="004320C4">
        <w:t xml:space="preserve"> </w:t>
      </w:r>
      <w:r w:rsidR="00BA1B34">
        <w:t xml:space="preserve"> </w:t>
      </w:r>
    </w:p>
    <w:p w14:paraId="15C92241" w14:textId="54B990C2" w:rsidR="00D55720" w:rsidRDefault="00CC15A7" w:rsidP="00195551">
      <w:pPr>
        <w:pStyle w:val="NumStyle2Lev2"/>
      </w:pPr>
      <w:r>
        <w:t xml:space="preserve">We recommend </w:t>
      </w:r>
      <w:r w:rsidR="005F21DA">
        <w:t xml:space="preserve">that </w:t>
      </w:r>
      <w:r w:rsidR="00EC36F8">
        <w:t>clause</w:t>
      </w:r>
      <w:r w:rsidR="00F4063F">
        <w:t xml:space="preserve"> 179</w:t>
      </w:r>
      <w:r w:rsidR="005F21DA">
        <w:t xml:space="preserve"> is amended </w:t>
      </w:r>
      <w:r w:rsidR="00A740EC">
        <w:t>as follows</w:t>
      </w:r>
      <w:r w:rsidR="00207BC0">
        <w:t>:</w:t>
      </w:r>
    </w:p>
    <w:p w14:paraId="513406B5" w14:textId="77777777" w:rsidR="00640FEF" w:rsidRPr="00190EA6" w:rsidRDefault="00CC15A7" w:rsidP="006B0333">
      <w:pPr>
        <w:pStyle w:val="NumStyle2Lev2"/>
        <w:numPr>
          <w:ilvl w:val="0"/>
          <w:numId w:val="0"/>
        </w:numPr>
        <w:rPr>
          <w:i/>
          <w:iCs/>
        </w:rPr>
      </w:pPr>
      <w:r>
        <w:tab/>
      </w:r>
      <w:r>
        <w:tab/>
      </w:r>
      <w:r w:rsidRPr="00190EA6">
        <w:rPr>
          <w:i/>
          <w:iCs/>
        </w:rPr>
        <w:t xml:space="preserve">[…] </w:t>
      </w:r>
    </w:p>
    <w:p w14:paraId="6297D2AD" w14:textId="188CB57C" w:rsidR="00DA299D" w:rsidRPr="00190EA6" w:rsidRDefault="00CC15A7" w:rsidP="00234A34">
      <w:pPr>
        <w:pStyle w:val="NumStyle2Lev2"/>
        <w:numPr>
          <w:ilvl w:val="0"/>
          <w:numId w:val="0"/>
        </w:numPr>
        <w:tabs>
          <w:tab w:val="clear" w:pos="567"/>
          <w:tab w:val="left" w:pos="709"/>
        </w:tabs>
        <w:ind w:left="851" w:hanging="284"/>
        <w:rPr>
          <w:i/>
          <w:iCs/>
          <w:color w:val="FF0000"/>
          <w:u w:val="single"/>
        </w:rPr>
      </w:pPr>
      <w:r w:rsidRPr="00190EA6">
        <w:rPr>
          <w:i/>
          <w:iCs/>
        </w:rPr>
        <w:tab/>
      </w:r>
      <w:r w:rsidRPr="00190EA6">
        <w:rPr>
          <w:i/>
          <w:iCs/>
          <w:color w:val="FF0000"/>
          <w:u w:val="single"/>
        </w:rPr>
        <w:tab/>
      </w:r>
      <w:r w:rsidR="00207BC0" w:rsidRPr="00190EA6">
        <w:rPr>
          <w:i/>
          <w:iCs/>
          <w:color w:val="FF0000"/>
          <w:u w:val="single"/>
        </w:rPr>
        <w:t xml:space="preserve">(6) </w:t>
      </w:r>
      <w:r w:rsidR="00A516FB" w:rsidRPr="00190EA6">
        <w:rPr>
          <w:i/>
          <w:iCs/>
          <w:color w:val="FF0000"/>
          <w:u w:val="single"/>
        </w:rPr>
        <w:t>The pr</w:t>
      </w:r>
      <w:r w:rsidR="004738BA" w:rsidRPr="00190EA6">
        <w:rPr>
          <w:i/>
          <w:iCs/>
          <w:color w:val="FF0000"/>
          <w:u w:val="single"/>
        </w:rPr>
        <w:t xml:space="preserve">ovisions specified in </w:t>
      </w:r>
      <w:r w:rsidR="004738BA" w:rsidRPr="00190EA6">
        <w:rPr>
          <w:b/>
          <w:bCs/>
          <w:i/>
          <w:iCs/>
          <w:color w:val="FF0000"/>
          <w:u w:val="single"/>
        </w:rPr>
        <w:t>subsection (4)</w:t>
      </w:r>
      <w:r w:rsidR="004738BA" w:rsidRPr="00190EA6">
        <w:rPr>
          <w:i/>
          <w:iCs/>
          <w:color w:val="FF0000"/>
          <w:u w:val="single"/>
        </w:rPr>
        <w:t xml:space="preserve"> </w:t>
      </w:r>
      <w:r w:rsidR="006B0333" w:rsidRPr="00190EA6">
        <w:rPr>
          <w:i/>
          <w:iCs/>
          <w:color w:val="FF0000"/>
          <w:u w:val="single"/>
        </w:rPr>
        <w:t xml:space="preserve">do not apply to submarine cables for the </w:t>
      </w:r>
      <w:r w:rsidRPr="00190EA6">
        <w:rPr>
          <w:i/>
          <w:iCs/>
          <w:color w:val="FF0000"/>
          <w:u w:val="single"/>
        </w:rPr>
        <w:t>t</w:t>
      </w:r>
      <w:r w:rsidR="006B0333" w:rsidRPr="00190EA6">
        <w:rPr>
          <w:i/>
          <w:iCs/>
          <w:color w:val="FF0000"/>
          <w:u w:val="single"/>
        </w:rPr>
        <w:t>ransmission, subtransmission or distribution</w:t>
      </w:r>
      <w:r w:rsidR="005F0283" w:rsidRPr="00190EA6">
        <w:rPr>
          <w:i/>
          <w:iCs/>
          <w:color w:val="FF0000"/>
          <w:u w:val="single"/>
        </w:rPr>
        <w:t xml:space="preserve"> of electricity</w:t>
      </w:r>
      <w:r w:rsidR="00234A34" w:rsidRPr="00190EA6">
        <w:rPr>
          <w:i/>
          <w:iCs/>
          <w:color w:val="FF0000"/>
          <w:u w:val="single"/>
        </w:rPr>
        <w:t xml:space="preserve">. </w:t>
      </w:r>
    </w:p>
    <w:p w14:paraId="575F9151" w14:textId="764147B8" w:rsidR="00FA1F12" w:rsidRPr="0062497B" w:rsidRDefault="00CC15A7" w:rsidP="00FA1F12">
      <w:pPr>
        <w:pStyle w:val="NumStyle2Lev2"/>
        <w:numPr>
          <w:ilvl w:val="0"/>
          <w:numId w:val="0"/>
        </w:numPr>
        <w:rPr>
          <w:i/>
          <w:iCs/>
        </w:rPr>
      </w:pPr>
      <w:r w:rsidRPr="0062497B">
        <w:rPr>
          <w:i/>
          <w:iCs/>
        </w:rPr>
        <w:t xml:space="preserve">Coastal occupation </w:t>
      </w:r>
      <w:r w:rsidR="083EB979" w:rsidRPr="56369908">
        <w:rPr>
          <w:i/>
          <w:iCs/>
        </w:rPr>
        <w:t>c</w:t>
      </w:r>
      <w:r w:rsidRPr="0062497B">
        <w:rPr>
          <w:i/>
          <w:iCs/>
        </w:rPr>
        <w:t xml:space="preserve">harges </w:t>
      </w:r>
    </w:p>
    <w:p w14:paraId="1BA78B8F" w14:textId="0793431A" w:rsidR="00333982" w:rsidRDefault="00CC15A7" w:rsidP="00775F61">
      <w:pPr>
        <w:pStyle w:val="NumStyle2Lev2"/>
      </w:pPr>
      <w:r>
        <w:t xml:space="preserve">In addition to limitations on the duration of coastal occupation permits, we question the utility of </w:t>
      </w:r>
      <w:r w:rsidR="00C93B1F">
        <w:t xml:space="preserve">levying coastal occupation charges on long-lived infrastructure. </w:t>
      </w:r>
      <w:r w:rsidR="000B48FF">
        <w:t xml:space="preserve"> </w:t>
      </w:r>
    </w:p>
    <w:p w14:paraId="05871BB4" w14:textId="601E1CC7" w:rsidR="00C93B1F" w:rsidRDefault="00CC15A7" w:rsidP="00C93B1F">
      <w:pPr>
        <w:pStyle w:val="NumStyle2Lev2"/>
      </w:pPr>
      <w:r>
        <w:t xml:space="preserve">Under </w:t>
      </w:r>
      <w:r w:rsidR="0089015D">
        <w:t xml:space="preserve">clause </w:t>
      </w:r>
      <w:r w:rsidR="005C6332">
        <w:t>321(1)</w:t>
      </w:r>
      <w:r w:rsidR="00775F61">
        <w:t>, regulations may be set to prescribe a levy for the taking or use of natural resources</w:t>
      </w:r>
      <w:r w:rsidR="00E02804">
        <w:t xml:space="preserve"> </w:t>
      </w:r>
      <w:r w:rsidR="000D18C3">
        <w:t>after having regard to</w:t>
      </w:r>
      <w:r>
        <w:t>:</w:t>
      </w:r>
      <w:r w:rsidR="00E02804">
        <w:t xml:space="preserve"> </w:t>
      </w:r>
    </w:p>
    <w:p w14:paraId="70D71467" w14:textId="62565EFA" w:rsidR="00C93B1F" w:rsidRDefault="00CC15A7">
      <w:pPr>
        <w:pStyle w:val="NumStyle2Lev3"/>
      </w:pPr>
      <w:r>
        <w:t>the extent to which public benefits from the coastal marine area are lost or gained; and</w:t>
      </w:r>
    </w:p>
    <w:p w14:paraId="35A79A96" w14:textId="2268C342" w:rsidR="000D18C3" w:rsidRDefault="00CC15A7">
      <w:pPr>
        <w:pStyle w:val="NumStyle2Lev3"/>
      </w:pPr>
      <w:r>
        <w:t>the extent to which private benefit is obtained from the occupation of the coastal marine area.</w:t>
      </w:r>
      <w:r w:rsidR="00775F61">
        <w:t xml:space="preserve"> </w:t>
      </w:r>
    </w:p>
    <w:p w14:paraId="0E3BAD9C" w14:textId="385BBE3D" w:rsidR="00FA1F12" w:rsidRDefault="00CC15A7" w:rsidP="00961601">
      <w:pPr>
        <w:pStyle w:val="NumStyle2Lev2"/>
      </w:pPr>
      <w:r>
        <w:t>The application of a levy in regard to long</w:t>
      </w:r>
      <w:r w:rsidR="43E8E05A">
        <w:t>-</w:t>
      </w:r>
      <w:r>
        <w:t>lived electricity infrastructure amounts to a revenue gathering activity with no direct relationship to effects</w:t>
      </w:r>
      <w:r w:rsidR="002F1EDB">
        <w:t xml:space="preserve"> from the activity on the </w:t>
      </w:r>
      <w:r w:rsidR="00190EA6">
        <w:t>coastal environment</w:t>
      </w:r>
      <w:r>
        <w:t>,</w:t>
      </w:r>
      <w:r w:rsidR="002F1EDB">
        <w:t xml:space="preserve"> and for which significant public benefit is derived</w:t>
      </w:r>
      <w:r w:rsidR="00234A34">
        <w:t>. We recommend that</w:t>
      </w:r>
      <w:r w:rsidR="00190EA6">
        <w:t xml:space="preserve"> </w:t>
      </w:r>
      <w:r w:rsidR="0092257B">
        <w:t xml:space="preserve">clause </w:t>
      </w:r>
      <w:r w:rsidR="00190EA6">
        <w:t xml:space="preserve">321 of the Bill is amended as follows: </w:t>
      </w:r>
    </w:p>
    <w:p w14:paraId="418AD217" w14:textId="77777777" w:rsidR="00D04645" w:rsidRDefault="00CC15A7" w:rsidP="00190EA6">
      <w:pPr>
        <w:pStyle w:val="RM-SLevel1"/>
        <w:numPr>
          <w:ilvl w:val="0"/>
          <w:numId w:val="0"/>
        </w:numPr>
        <w:ind w:left="720"/>
        <w:rPr>
          <w:i/>
          <w:iCs/>
        </w:rPr>
      </w:pPr>
      <w:r>
        <w:rPr>
          <w:i/>
          <w:iCs/>
        </w:rPr>
        <w:t>(5) A coastal occupation charge must not be imposed on–</w:t>
      </w:r>
    </w:p>
    <w:p w14:paraId="05AA8364" w14:textId="77777777" w:rsidR="00D04645" w:rsidRDefault="00CC15A7" w:rsidP="00190EA6">
      <w:pPr>
        <w:pStyle w:val="RM-SLevel1"/>
        <w:numPr>
          <w:ilvl w:val="0"/>
          <w:numId w:val="0"/>
        </w:numPr>
        <w:ind w:left="720"/>
        <w:rPr>
          <w:i/>
          <w:iCs/>
        </w:rPr>
      </w:pPr>
      <w:r>
        <w:rPr>
          <w:i/>
          <w:iCs/>
        </w:rPr>
        <w:t>[…]</w:t>
      </w:r>
    </w:p>
    <w:p w14:paraId="797F4E4B" w14:textId="77777777" w:rsidR="00D04645" w:rsidRDefault="00CC15A7" w:rsidP="00190EA6">
      <w:pPr>
        <w:pStyle w:val="RM-SLevel1"/>
        <w:numPr>
          <w:ilvl w:val="0"/>
          <w:numId w:val="0"/>
        </w:numPr>
        <w:ind w:left="720"/>
        <w:rPr>
          <w:i/>
          <w:iCs/>
          <w:color w:val="FF0000"/>
          <w:u w:val="single"/>
        </w:rPr>
      </w:pPr>
      <w:r>
        <w:rPr>
          <w:i/>
          <w:iCs/>
          <w:color w:val="FF0000"/>
          <w:u w:val="single"/>
        </w:rPr>
        <w:t>(c) Infrastructure providers</w:t>
      </w:r>
    </w:p>
    <w:p w14:paraId="710C6DB8" w14:textId="77777777" w:rsidR="00D04645" w:rsidRDefault="00D04645" w:rsidP="00FA1F12">
      <w:pPr>
        <w:pStyle w:val="NumStyle2Lev2"/>
        <w:numPr>
          <w:ilvl w:val="0"/>
          <w:numId w:val="0"/>
        </w:numPr>
      </w:pPr>
    </w:p>
    <w:p w14:paraId="3A460A0E" w14:textId="77777777" w:rsidR="00C97541" w:rsidRPr="008D5190" w:rsidRDefault="00CC15A7" w:rsidP="00C97541">
      <w:pPr>
        <w:pStyle w:val="Default"/>
        <w:rPr>
          <w:i/>
          <w:iCs/>
          <w:sz w:val="20"/>
          <w:szCs w:val="20"/>
        </w:rPr>
      </w:pPr>
      <w:r w:rsidRPr="008D5190">
        <w:rPr>
          <w:i/>
          <w:iCs/>
          <w:sz w:val="20"/>
          <w:szCs w:val="20"/>
        </w:rPr>
        <w:lastRenderedPageBreak/>
        <w:t xml:space="preserve">Levies </w:t>
      </w:r>
    </w:p>
    <w:p w14:paraId="490BFD9A" w14:textId="77777777" w:rsidR="00C97541" w:rsidRDefault="00C97541" w:rsidP="00C97541">
      <w:pPr>
        <w:pStyle w:val="Default"/>
        <w:rPr>
          <w:sz w:val="20"/>
          <w:szCs w:val="20"/>
        </w:rPr>
      </w:pPr>
    </w:p>
    <w:p w14:paraId="2BFC94ED" w14:textId="12D28B0A" w:rsidR="00C97541" w:rsidRPr="0062497B" w:rsidRDefault="00CC15A7" w:rsidP="0062497B">
      <w:pPr>
        <w:pStyle w:val="NumStyle2Lev2"/>
      </w:pPr>
      <w:r>
        <w:t xml:space="preserve">We also recommend that </w:t>
      </w:r>
      <w:r w:rsidR="0062497B">
        <w:t>infrastructure</w:t>
      </w:r>
      <w:r>
        <w:t xml:space="preserve"> providers are </w:t>
      </w:r>
      <w:r w:rsidR="0062497B">
        <w:t>exempted</w:t>
      </w:r>
      <w:r>
        <w:t xml:space="preserve"> from </w:t>
      </w:r>
      <w:r w:rsidR="7A54AF95">
        <w:t>l</w:t>
      </w:r>
      <w:r w:rsidR="0062497B">
        <w:t xml:space="preserve">evies under </w:t>
      </w:r>
      <w:r w:rsidR="008C5FF3">
        <w:t xml:space="preserve">clause </w:t>
      </w:r>
      <w:r w:rsidR="0062497B">
        <w:t>313 of the Bill as follows</w:t>
      </w:r>
      <w:r>
        <w:t xml:space="preserve">: </w:t>
      </w:r>
    </w:p>
    <w:p w14:paraId="13EA19C6" w14:textId="77777777" w:rsidR="00C97541" w:rsidRDefault="00C97541" w:rsidP="00C97541">
      <w:pPr>
        <w:pStyle w:val="Default"/>
        <w:rPr>
          <w:sz w:val="20"/>
          <w:szCs w:val="20"/>
        </w:rPr>
      </w:pPr>
    </w:p>
    <w:p w14:paraId="780D7D0C" w14:textId="77777777" w:rsidR="008D5190" w:rsidRDefault="00CC15A7" w:rsidP="008D5190">
      <w:pPr>
        <w:pStyle w:val="Default"/>
        <w:ind w:left="720"/>
        <w:rPr>
          <w:i/>
          <w:iCs/>
          <w:sz w:val="20"/>
          <w:szCs w:val="20"/>
        </w:rPr>
      </w:pPr>
      <w:r>
        <w:rPr>
          <w:i/>
          <w:iCs/>
          <w:sz w:val="20"/>
          <w:szCs w:val="20"/>
        </w:rPr>
        <w:t>(4) the following are exempt from any charges prescribed by regulations made under this section:</w:t>
      </w:r>
    </w:p>
    <w:p w14:paraId="61CC4C3A" w14:textId="0B8E9597" w:rsidR="00C97541" w:rsidRDefault="00CC15A7" w:rsidP="008D5190">
      <w:pPr>
        <w:pStyle w:val="Default"/>
        <w:ind w:left="720"/>
        <w:rPr>
          <w:sz w:val="20"/>
          <w:szCs w:val="20"/>
        </w:rPr>
      </w:pPr>
      <w:r>
        <w:rPr>
          <w:i/>
          <w:iCs/>
          <w:sz w:val="20"/>
          <w:szCs w:val="20"/>
        </w:rPr>
        <w:t xml:space="preserve"> </w:t>
      </w:r>
    </w:p>
    <w:p w14:paraId="445FBE97" w14:textId="77777777" w:rsidR="008D5190" w:rsidRDefault="00CC15A7" w:rsidP="008D5190">
      <w:pPr>
        <w:pStyle w:val="Default"/>
        <w:ind w:firstLine="720"/>
        <w:rPr>
          <w:i/>
          <w:iCs/>
          <w:sz w:val="20"/>
          <w:szCs w:val="20"/>
        </w:rPr>
      </w:pPr>
      <w:r>
        <w:rPr>
          <w:i/>
          <w:iCs/>
          <w:sz w:val="20"/>
          <w:szCs w:val="20"/>
        </w:rPr>
        <w:t>[…]</w:t>
      </w:r>
    </w:p>
    <w:p w14:paraId="75953F2F" w14:textId="3CCDF5E9" w:rsidR="00C97541" w:rsidRDefault="00CC15A7" w:rsidP="008D5190">
      <w:pPr>
        <w:pStyle w:val="Default"/>
        <w:ind w:firstLine="720"/>
        <w:rPr>
          <w:sz w:val="20"/>
          <w:szCs w:val="20"/>
        </w:rPr>
      </w:pPr>
      <w:r>
        <w:rPr>
          <w:i/>
          <w:iCs/>
          <w:sz w:val="20"/>
          <w:szCs w:val="20"/>
        </w:rPr>
        <w:t xml:space="preserve"> </w:t>
      </w:r>
    </w:p>
    <w:p w14:paraId="451956FC" w14:textId="05D9D6D0" w:rsidR="00076EF4" w:rsidRPr="003D0C4C" w:rsidRDefault="00CC15A7" w:rsidP="00C97541">
      <w:pPr>
        <w:pStyle w:val="NumStyle2Lev2"/>
        <w:numPr>
          <w:ilvl w:val="0"/>
          <w:numId w:val="0"/>
        </w:numPr>
        <w:rPr>
          <w:i/>
          <w:iCs/>
          <w:color w:val="FF0000"/>
          <w:sz w:val="20"/>
          <w:szCs w:val="20"/>
          <w:u w:val="single"/>
        </w:rPr>
      </w:pPr>
      <w:r>
        <w:rPr>
          <w:i/>
          <w:iCs/>
          <w:color w:val="FF0000"/>
          <w:sz w:val="20"/>
          <w:szCs w:val="20"/>
        </w:rPr>
        <w:tab/>
      </w:r>
      <w:r w:rsidR="00C97541" w:rsidRPr="003D0C4C">
        <w:rPr>
          <w:i/>
          <w:iCs/>
          <w:color w:val="FF0000"/>
          <w:sz w:val="20"/>
          <w:szCs w:val="20"/>
          <w:u w:val="single"/>
        </w:rPr>
        <w:t>(c) infrastructure providers</w:t>
      </w:r>
    </w:p>
    <w:p w14:paraId="1279E3BD" w14:textId="0059C245" w:rsidR="001B4473" w:rsidRPr="00725BCB" w:rsidRDefault="001B4473" w:rsidP="00725BCB">
      <w:pPr>
        <w:tabs>
          <w:tab w:val="clear" w:pos="284"/>
          <w:tab w:val="clear" w:pos="567"/>
          <w:tab w:val="clear" w:pos="1276"/>
          <w:tab w:val="clear" w:pos="1985"/>
        </w:tabs>
        <w:spacing w:before="120" w:after="120" w:line="240" w:lineRule="atLeast"/>
        <w:rPr>
          <w:rFonts w:ascii="Arial" w:eastAsia="Times New Roman" w:hAnsi="Arial" w:cs="Arial"/>
          <w:i/>
          <w:iCs/>
          <w:color w:val="FF0000"/>
          <w:sz w:val="20"/>
          <w:szCs w:val="20"/>
          <w:lang w:eastAsia="en-NZ"/>
        </w:rPr>
      </w:pPr>
    </w:p>
    <w:sectPr w:rsidR="001B4473" w:rsidRPr="00725BCB" w:rsidSect="00C837C4">
      <w:headerReference w:type="default" r:id="rId16"/>
      <w:footerReference w:type="default" r:id="rId17"/>
      <w:footerReference w:type="first" r:id="rId18"/>
      <w:pgSz w:w="11906" w:h="16838" w:code="9"/>
      <w:pgMar w:top="1701" w:right="1418" w:bottom="1418" w:left="1418" w:header="73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FF476" w14:textId="77777777" w:rsidR="00A11220" w:rsidRDefault="00A11220">
      <w:pPr>
        <w:spacing w:line="240" w:lineRule="auto"/>
      </w:pPr>
      <w:r>
        <w:separator/>
      </w:r>
    </w:p>
  </w:endnote>
  <w:endnote w:type="continuationSeparator" w:id="0">
    <w:p w14:paraId="0B4ECB1E" w14:textId="77777777" w:rsidR="00A11220" w:rsidRDefault="00A112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Arial-Black">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FE728" w14:textId="45EBE048" w:rsidR="00BE17F0" w:rsidRPr="00096044" w:rsidRDefault="00CC15A7" w:rsidP="00C837C4">
    <w:pPr>
      <w:pStyle w:val="Footer"/>
      <w:tabs>
        <w:tab w:val="clear" w:pos="1985"/>
      </w:tabs>
    </w:pPr>
    <w:r>
      <w:t xml:space="preserve">Vector Limited </w:t>
    </w:r>
    <w:r w:rsidR="00004AF6">
      <w:t>Submission - Planning Bill</w:t>
    </w:r>
    <w:r w:rsidR="008D1CF4">
      <w:t xml:space="preserve"> 2025</w:t>
    </w:r>
    <w:r w:rsidR="00004AF6">
      <w:t xml:space="preserve"> &amp; Natural Environment Bill 2025 </w:t>
    </w:r>
    <w:r w:rsidR="00096044" w:rsidRPr="00096044">
      <w:tab/>
      <w:t xml:space="preserve">page </w:t>
    </w:r>
    <w:r w:rsidR="00096044" w:rsidRPr="00096044">
      <w:fldChar w:fldCharType="begin"/>
    </w:r>
    <w:r w:rsidR="00096044" w:rsidRPr="00096044">
      <w:instrText xml:space="preserve"> PAGE   \* MERGEFORMAT </w:instrText>
    </w:r>
    <w:r w:rsidR="00096044" w:rsidRPr="00096044">
      <w:fldChar w:fldCharType="separate"/>
    </w:r>
    <w:r w:rsidR="00096044" w:rsidRPr="00096044">
      <w:t>1</w:t>
    </w:r>
    <w:r w:rsidR="00096044" w:rsidRPr="00096044">
      <w:fldChar w:fldCharType="end"/>
    </w:r>
    <w:r w:rsidR="00096044" w:rsidRPr="00096044">
      <w:t xml:space="preserve"> of </w:t>
    </w:r>
    <w:r w:rsidR="00096044" w:rsidRPr="00096044">
      <w:fldChar w:fldCharType="begin"/>
    </w:r>
    <w:r>
      <w:instrText xml:space="preserve"> NUMPAGES  \* Arabic  \* MERGEFORMAT </w:instrText>
    </w:r>
    <w:r w:rsidR="00096044" w:rsidRPr="00096044">
      <w:fldChar w:fldCharType="separate"/>
    </w:r>
    <w:r w:rsidR="00096044" w:rsidRPr="00096044">
      <w:t>1</w:t>
    </w:r>
    <w:r w:rsidR="00096044" w:rsidRPr="0009604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6AB23" w14:textId="77777777" w:rsidR="00433C46" w:rsidRDefault="00CC15A7" w:rsidP="00C641B7">
    <w:pPr>
      <w:pStyle w:val="Footer"/>
    </w:pPr>
    <w:r>
      <w:rPr>
        <w:noProof/>
      </w:rPr>
      <w:drawing>
        <wp:anchor distT="0" distB="0" distL="114300" distR="114300" simplePos="0" relativeHeight="251658242" behindDoc="1" locked="0" layoutInCell="1" allowOverlap="1" wp14:anchorId="68FC5DA7" wp14:editId="34A1C395">
          <wp:simplePos x="0" y="0"/>
          <wp:positionH relativeFrom="column">
            <wp:posOffset>-168910</wp:posOffset>
          </wp:positionH>
          <wp:positionV relativeFrom="page">
            <wp:posOffset>8900160</wp:posOffset>
          </wp:positionV>
          <wp:extent cx="6684645" cy="1644650"/>
          <wp:effectExtent l="0" t="0" r="1905" b="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ector_Living_Line_Gradient_RGB_White_Transparent.png"/>
                  <pic:cNvPicPr/>
                </pic:nvPicPr>
                <pic:blipFill>
                  <a:blip r:embed="rId1">
                    <a:extLst>
                      <a:ext uri="{28A0092B-C50C-407E-A947-70E740481C1C}">
                        <a14:useLocalDpi xmlns:a14="http://schemas.microsoft.com/office/drawing/2010/main" val="0"/>
                      </a:ext>
                    </a:extLst>
                  </a:blip>
                  <a:srcRect t="36761" r="22061" b="36092"/>
                  <a:stretch>
                    <a:fillRect/>
                  </a:stretch>
                </pic:blipFill>
                <pic:spPr bwMode="auto">
                  <a:xfrm>
                    <a:off x="0" y="0"/>
                    <a:ext cx="6684645" cy="164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100E7E" w14:textId="77777777" w:rsidR="00433C46" w:rsidRDefault="00CC15A7" w:rsidP="00C641B7">
    <w:pPr>
      <w:pStyle w:val="Footer"/>
    </w:pPr>
    <w:r>
      <w:rPr>
        <w:noProof/>
      </w:rPr>
      <w:drawing>
        <wp:anchor distT="0" distB="0" distL="114300" distR="114300" simplePos="0" relativeHeight="251658240" behindDoc="0" locked="0" layoutInCell="1" allowOverlap="1" wp14:anchorId="3CD904E5" wp14:editId="6C9D8FE4">
          <wp:simplePos x="0" y="0"/>
          <wp:positionH relativeFrom="column">
            <wp:posOffset>0</wp:posOffset>
          </wp:positionH>
          <wp:positionV relativeFrom="page">
            <wp:posOffset>10694035</wp:posOffset>
          </wp:positionV>
          <wp:extent cx="6685200" cy="1645200"/>
          <wp:effectExtent l="0" t="0" r="0" b="6350"/>
          <wp:wrapSquare wrapText="bothSides"/>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ctor_Living_Line_Gradient_RGB_White_Transparent.png"/>
                  <pic:cNvPicPr/>
                </pic:nvPicPr>
                <pic:blipFill>
                  <a:blip r:embed="rId1">
                    <a:extLst>
                      <a:ext uri="{28A0092B-C50C-407E-A947-70E740481C1C}">
                        <a14:useLocalDpi xmlns:a14="http://schemas.microsoft.com/office/drawing/2010/main" val="0"/>
                      </a:ext>
                    </a:extLst>
                  </a:blip>
                  <a:srcRect t="36761" r="22061" b="36092"/>
                  <a:stretch>
                    <a:fillRect/>
                  </a:stretch>
                </pic:blipFill>
                <pic:spPr bwMode="auto">
                  <a:xfrm>
                    <a:off x="0" y="0"/>
                    <a:ext cx="6685200" cy="164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46823" w14:textId="77777777" w:rsidR="00A11220" w:rsidRDefault="00A11220" w:rsidP="00C641B7">
      <w:r>
        <w:separator/>
      </w:r>
    </w:p>
  </w:footnote>
  <w:footnote w:type="continuationSeparator" w:id="0">
    <w:p w14:paraId="76FC5E3E" w14:textId="77777777" w:rsidR="00A11220" w:rsidRDefault="00A11220" w:rsidP="00C641B7">
      <w:r>
        <w:continuationSeparator/>
      </w:r>
    </w:p>
  </w:footnote>
  <w:footnote w:id="1">
    <w:p w14:paraId="797F2660" w14:textId="77777777" w:rsidR="00BB4E2A" w:rsidRPr="005F08B1" w:rsidRDefault="00CC15A7" w:rsidP="00BB4E2A">
      <w:pPr>
        <w:pStyle w:val="FootnoteText"/>
        <w:rPr>
          <w:lang w:val="en-US"/>
        </w:rPr>
      </w:pPr>
      <w:r>
        <w:rPr>
          <w:rStyle w:val="FootnoteReference"/>
        </w:rPr>
        <w:footnoteRef/>
      </w:r>
      <w:r>
        <w:t xml:space="preserve"> </w:t>
      </w:r>
      <w:hyperlink r:id="rId1" w:history="1">
        <w:r w:rsidR="00BB4E2A" w:rsidRPr="005D5F76">
          <w:rPr>
            <w:rStyle w:val="Hyperlink"/>
            <w:sz w:val="16"/>
            <w:szCs w:val="16"/>
          </w:rPr>
          <w:t>https://environment.govt.nz/publications/better-planning-for-a-better-new-zealand</w:t>
        </w:r>
      </w:hyperlink>
      <w:r>
        <w:rPr>
          <w:sz w:val="16"/>
          <w:szCs w:val="16"/>
        </w:rPr>
        <w:t xml:space="preserve"> </w:t>
      </w:r>
    </w:p>
  </w:footnote>
  <w:footnote w:id="2">
    <w:p w14:paraId="3FC507D3" w14:textId="30160B04" w:rsidR="008959D2" w:rsidRPr="00356DBE" w:rsidRDefault="00CC15A7">
      <w:pPr>
        <w:pStyle w:val="FootnoteText"/>
        <w:rPr>
          <w:sz w:val="16"/>
          <w:szCs w:val="16"/>
          <w:lang w:val="en-US"/>
        </w:rPr>
      </w:pPr>
      <w:r w:rsidRPr="00356DBE">
        <w:rPr>
          <w:rStyle w:val="FootnoteReference"/>
          <w:sz w:val="16"/>
          <w:szCs w:val="16"/>
        </w:rPr>
        <w:footnoteRef/>
      </w:r>
      <w:r w:rsidRPr="00356DBE">
        <w:rPr>
          <w:sz w:val="16"/>
          <w:szCs w:val="16"/>
        </w:rPr>
        <w:t xml:space="preserve"> </w:t>
      </w:r>
      <w:r w:rsidRPr="00356DBE">
        <w:rPr>
          <w:sz w:val="16"/>
          <w:szCs w:val="16"/>
          <w:lang w:val="en-US"/>
        </w:rPr>
        <w:t xml:space="preserve">The </w:t>
      </w:r>
      <w:r w:rsidR="00EC6668">
        <w:rPr>
          <w:sz w:val="16"/>
          <w:szCs w:val="16"/>
          <w:lang w:val="en-US"/>
        </w:rPr>
        <w:t xml:space="preserve">insertion of the new subclause (2) shifts the </w:t>
      </w:r>
      <w:r w:rsidR="00FC5AD0" w:rsidRPr="00356DBE">
        <w:rPr>
          <w:sz w:val="16"/>
          <w:szCs w:val="16"/>
        </w:rPr>
        <w:t>proceeding</w:t>
      </w:r>
      <w:r w:rsidR="00FC5AD0">
        <w:rPr>
          <w:sz w:val="16"/>
          <w:szCs w:val="16"/>
        </w:rPr>
        <w:t xml:space="preserve"> </w:t>
      </w:r>
      <w:r w:rsidR="00D21E20">
        <w:rPr>
          <w:sz w:val="16"/>
          <w:szCs w:val="16"/>
        </w:rPr>
        <w:t>subclauses</w:t>
      </w:r>
      <w:r w:rsidR="00FC5AD0">
        <w:rPr>
          <w:sz w:val="16"/>
          <w:szCs w:val="16"/>
        </w:rPr>
        <w:t xml:space="preserve"> </w:t>
      </w:r>
      <w:r w:rsidR="00EC6668">
        <w:rPr>
          <w:sz w:val="16"/>
          <w:szCs w:val="16"/>
        </w:rPr>
        <w:t xml:space="preserve">down </w:t>
      </w:r>
      <w:r w:rsidR="00FB257E">
        <w:rPr>
          <w:sz w:val="16"/>
          <w:szCs w:val="16"/>
        </w:rPr>
        <w:t xml:space="preserve">e.g. the existing draft subclause (2) becomes subclause (3) and so on.  </w:t>
      </w:r>
    </w:p>
  </w:footnote>
  <w:footnote w:id="3">
    <w:p w14:paraId="4F123A84" w14:textId="273B42A7" w:rsidR="003B606B" w:rsidRPr="003E4D07" w:rsidRDefault="00CC15A7" w:rsidP="003B606B">
      <w:pPr>
        <w:pStyle w:val="FootnoteText"/>
        <w:ind w:left="851" w:hanging="851"/>
        <w:rPr>
          <w:sz w:val="16"/>
          <w:szCs w:val="16"/>
        </w:rPr>
      </w:pPr>
      <w:r w:rsidRPr="003E4D07">
        <w:rPr>
          <w:rStyle w:val="FootnoteReference"/>
          <w:sz w:val="16"/>
          <w:szCs w:val="16"/>
        </w:rPr>
        <w:footnoteRef/>
      </w:r>
      <w:r w:rsidRPr="003E4D07">
        <w:rPr>
          <w:sz w:val="16"/>
          <w:szCs w:val="16"/>
        </w:rPr>
        <w:t xml:space="preserve"> </w:t>
      </w:r>
      <w:r w:rsidRPr="003E4D07">
        <w:rPr>
          <w:sz w:val="16"/>
          <w:szCs w:val="16"/>
        </w:rPr>
        <w:tab/>
      </w:r>
      <w:r w:rsidRPr="003E4D07">
        <w:rPr>
          <w:sz w:val="16"/>
          <w:szCs w:val="16"/>
        </w:rPr>
        <w:tab/>
        <w:t xml:space="preserve">Planning Bill, </w:t>
      </w:r>
      <w:r w:rsidR="00197434">
        <w:rPr>
          <w:sz w:val="16"/>
          <w:szCs w:val="16"/>
        </w:rPr>
        <w:t>clause</w:t>
      </w:r>
      <w:r w:rsidR="00197434" w:rsidRPr="003E4D07">
        <w:rPr>
          <w:sz w:val="16"/>
          <w:szCs w:val="16"/>
        </w:rPr>
        <w:t xml:space="preserve"> </w:t>
      </w:r>
      <w:r w:rsidRPr="003E4D07">
        <w:rPr>
          <w:sz w:val="16"/>
          <w:szCs w:val="16"/>
        </w:rPr>
        <w:t>11.</w:t>
      </w:r>
    </w:p>
  </w:footnote>
  <w:footnote w:id="4">
    <w:p w14:paraId="095BBAEB" w14:textId="5E41AE7D" w:rsidR="003B606B" w:rsidRDefault="00CC15A7" w:rsidP="003B606B">
      <w:pPr>
        <w:pStyle w:val="FootnoteText"/>
        <w:ind w:left="851" w:hanging="851"/>
      </w:pPr>
      <w:r w:rsidRPr="003E4D07">
        <w:rPr>
          <w:rStyle w:val="FootnoteReference"/>
          <w:sz w:val="16"/>
          <w:szCs w:val="16"/>
        </w:rPr>
        <w:footnoteRef/>
      </w:r>
      <w:r w:rsidRPr="003E4D07">
        <w:rPr>
          <w:sz w:val="16"/>
          <w:szCs w:val="16"/>
        </w:rPr>
        <w:tab/>
      </w:r>
      <w:r w:rsidRPr="003E4D07">
        <w:rPr>
          <w:sz w:val="16"/>
          <w:szCs w:val="16"/>
        </w:rPr>
        <w:tab/>
        <w:t xml:space="preserve">Planning Bill, </w:t>
      </w:r>
      <w:r w:rsidR="00197434">
        <w:rPr>
          <w:sz w:val="16"/>
          <w:szCs w:val="16"/>
        </w:rPr>
        <w:t>clause</w:t>
      </w:r>
      <w:r w:rsidR="00197434" w:rsidRPr="003E4D07">
        <w:rPr>
          <w:sz w:val="16"/>
          <w:szCs w:val="16"/>
        </w:rPr>
        <w:t xml:space="preserve"> </w:t>
      </w:r>
      <w:r w:rsidRPr="003E4D07">
        <w:rPr>
          <w:sz w:val="16"/>
          <w:szCs w:val="16"/>
        </w:rPr>
        <w:t>3(1)(h), sch</w:t>
      </w:r>
      <w:r w:rsidR="0093607C" w:rsidRPr="003E4D07">
        <w:rPr>
          <w:sz w:val="16"/>
          <w:szCs w:val="16"/>
        </w:rPr>
        <w:t>edule</w:t>
      </w:r>
      <w:r w:rsidRPr="003E4D07">
        <w:rPr>
          <w:sz w:val="16"/>
          <w:szCs w:val="16"/>
        </w:rPr>
        <w:t xml:space="preserve"> 2.</w:t>
      </w:r>
    </w:p>
  </w:footnote>
  <w:footnote w:id="5">
    <w:p w14:paraId="4F50B8E6" w14:textId="3627D023" w:rsidR="002F4B2A" w:rsidRDefault="00CC15A7" w:rsidP="002F4B2A">
      <w:pPr>
        <w:pStyle w:val="FootnoteText"/>
        <w:ind w:left="851" w:hanging="851"/>
      </w:pPr>
      <w:r>
        <w:rPr>
          <w:rStyle w:val="FootnoteReference"/>
        </w:rPr>
        <w:footnoteRef/>
      </w:r>
      <w:r>
        <w:t xml:space="preserve"> </w:t>
      </w:r>
      <w:r w:rsidRPr="007779AD">
        <w:rPr>
          <w:sz w:val="16"/>
          <w:szCs w:val="16"/>
        </w:rPr>
        <w:tab/>
      </w:r>
      <w:r w:rsidRPr="007779AD">
        <w:rPr>
          <w:sz w:val="16"/>
          <w:szCs w:val="16"/>
        </w:rPr>
        <w:tab/>
        <w:t xml:space="preserve">Planning Bill, </w:t>
      </w:r>
      <w:r w:rsidR="009A3221">
        <w:rPr>
          <w:sz w:val="16"/>
          <w:szCs w:val="16"/>
        </w:rPr>
        <w:t>clause</w:t>
      </w:r>
      <w:r w:rsidR="009A3221" w:rsidRPr="007779AD">
        <w:rPr>
          <w:sz w:val="16"/>
          <w:szCs w:val="16"/>
        </w:rPr>
        <w:t xml:space="preserve"> </w:t>
      </w:r>
      <w:r w:rsidRPr="007779AD">
        <w:rPr>
          <w:sz w:val="16"/>
          <w:szCs w:val="16"/>
        </w:rPr>
        <w:t>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B475F" w14:textId="7B6FE101" w:rsidR="00BE17F0" w:rsidRPr="00D55F45" w:rsidRDefault="00CC15A7" w:rsidP="00C641B7">
    <w:pPr>
      <w:pStyle w:val="Header"/>
    </w:pPr>
    <w:r w:rsidRPr="00D55F45">
      <w:rPr>
        <w:noProof/>
        <w:lang w:eastAsia="en-NZ"/>
      </w:rPr>
      <w:drawing>
        <wp:anchor distT="0" distB="0" distL="114300" distR="114300" simplePos="0" relativeHeight="251658241" behindDoc="1" locked="0" layoutInCell="1" allowOverlap="1" wp14:anchorId="131A1560" wp14:editId="6AB2D0AD">
          <wp:simplePos x="0" y="0"/>
          <wp:positionH relativeFrom="column">
            <wp:posOffset>4968875</wp:posOffset>
          </wp:positionH>
          <wp:positionV relativeFrom="paragraph">
            <wp:posOffset>-155575</wp:posOffset>
          </wp:positionV>
          <wp:extent cx="1278000" cy="601200"/>
          <wp:effectExtent l="0" t="0" r="0" b="8890"/>
          <wp:wrapTight wrapText="bothSides">
            <wp:wrapPolygon edited="0">
              <wp:start x="6441" y="0"/>
              <wp:lineTo x="1288" y="3425"/>
              <wp:lineTo x="322" y="5480"/>
              <wp:lineTo x="644" y="13015"/>
              <wp:lineTo x="2577" y="21235"/>
              <wp:lineTo x="2899" y="21235"/>
              <wp:lineTo x="5153" y="21235"/>
              <wp:lineTo x="5797" y="21235"/>
              <wp:lineTo x="8374" y="12330"/>
              <wp:lineTo x="20612" y="9590"/>
              <wp:lineTo x="20612" y="3425"/>
              <wp:lineTo x="7730" y="0"/>
              <wp:lineTo x="644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ctor_hor_pos.jpg"/>
                  <pic:cNvPicPr/>
                </pic:nvPicPr>
                <pic:blipFill>
                  <a:blip r:embed="rId1">
                    <a:extLst>
                      <a:ext uri="{28A0092B-C50C-407E-A947-70E740481C1C}">
                        <a14:useLocalDpi xmlns:a14="http://schemas.microsoft.com/office/drawing/2010/main" val="0"/>
                      </a:ext>
                    </a:extLst>
                  </a:blip>
                  <a:srcRect t="2326" b="3487"/>
                  <a:stretch>
                    <a:fillRect/>
                  </a:stretch>
                </pic:blipFill>
                <pic:spPr bwMode="auto">
                  <a:xfrm>
                    <a:off x="0" y="0"/>
                    <a:ext cx="1278000" cy="60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41D11"/>
    <w:multiLevelType w:val="hybridMultilevel"/>
    <w:tmpl w:val="79040C7C"/>
    <w:lvl w:ilvl="0" w:tplc="70B68520">
      <w:start w:val="1"/>
      <w:numFmt w:val="lowerLetter"/>
      <w:lvlText w:val="%1)"/>
      <w:lvlJc w:val="left"/>
      <w:pPr>
        <w:ind w:left="1020" w:hanging="360"/>
      </w:pPr>
    </w:lvl>
    <w:lvl w:ilvl="1" w:tplc="7F2E7088">
      <w:start w:val="1"/>
      <w:numFmt w:val="lowerLetter"/>
      <w:lvlText w:val="%2)"/>
      <w:lvlJc w:val="left"/>
      <w:pPr>
        <w:ind w:left="1020" w:hanging="360"/>
      </w:pPr>
    </w:lvl>
    <w:lvl w:ilvl="2" w:tplc="725A7222">
      <w:start w:val="1"/>
      <w:numFmt w:val="lowerLetter"/>
      <w:lvlText w:val="%3)"/>
      <w:lvlJc w:val="left"/>
      <w:pPr>
        <w:ind w:left="1020" w:hanging="360"/>
      </w:pPr>
    </w:lvl>
    <w:lvl w:ilvl="3" w:tplc="0BAE4D96">
      <w:start w:val="1"/>
      <w:numFmt w:val="lowerLetter"/>
      <w:lvlText w:val="%4)"/>
      <w:lvlJc w:val="left"/>
      <w:pPr>
        <w:ind w:left="1020" w:hanging="360"/>
      </w:pPr>
    </w:lvl>
    <w:lvl w:ilvl="4" w:tplc="F3B4C508">
      <w:start w:val="1"/>
      <w:numFmt w:val="lowerLetter"/>
      <w:lvlText w:val="%5)"/>
      <w:lvlJc w:val="left"/>
      <w:pPr>
        <w:ind w:left="1020" w:hanging="360"/>
      </w:pPr>
    </w:lvl>
    <w:lvl w:ilvl="5" w:tplc="5E14992E">
      <w:start w:val="1"/>
      <w:numFmt w:val="lowerLetter"/>
      <w:lvlText w:val="%6)"/>
      <w:lvlJc w:val="left"/>
      <w:pPr>
        <w:ind w:left="1020" w:hanging="360"/>
      </w:pPr>
    </w:lvl>
    <w:lvl w:ilvl="6" w:tplc="F88E0ACA">
      <w:start w:val="1"/>
      <w:numFmt w:val="lowerLetter"/>
      <w:lvlText w:val="%7)"/>
      <w:lvlJc w:val="left"/>
      <w:pPr>
        <w:ind w:left="1020" w:hanging="360"/>
      </w:pPr>
    </w:lvl>
    <w:lvl w:ilvl="7" w:tplc="6922DA6C">
      <w:start w:val="1"/>
      <w:numFmt w:val="lowerLetter"/>
      <w:lvlText w:val="%8)"/>
      <w:lvlJc w:val="left"/>
      <w:pPr>
        <w:ind w:left="1020" w:hanging="360"/>
      </w:pPr>
    </w:lvl>
    <w:lvl w:ilvl="8" w:tplc="E2CE9C02">
      <w:start w:val="1"/>
      <w:numFmt w:val="lowerLetter"/>
      <w:lvlText w:val="%9)"/>
      <w:lvlJc w:val="left"/>
      <w:pPr>
        <w:ind w:left="1020" w:hanging="360"/>
      </w:pPr>
    </w:lvl>
  </w:abstractNum>
  <w:abstractNum w:abstractNumId="1" w15:restartNumberingAfterBreak="0">
    <w:nsid w:val="0615797E"/>
    <w:multiLevelType w:val="multilevel"/>
    <w:tmpl w:val="F0767860"/>
    <w:lvl w:ilvl="0">
      <w:start w:val="1"/>
      <w:numFmt w:val="decimal"/>
      <w:pStyle w:val="Level1Indent"/>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B806292"/>
    <w:multiLevelType w:val="hybridMultilevel"/>
    <w:tmpl w:val="7B82A16A"/>
    <w:lvl w:ilvl="0" w:tplc="0A2A68E6">
      <w:start w:val="1"/>
      <w:numFmt w:val="lowerLetter"/>
      <w:lvlText w:val="%1)"/>
      <w:lvlJc w:val="left"/>
      <w:pPr>
        <w:ind w:left="1020" w:hanging="360"/>
      </w:pPr>
    </w:lvl>
    <w:lvl w:ilvl="1" w:tplc="B0E48FE8">
      <w:start w:val="1"/>
      <w:numFmt w:val="lowerLetter"/>
      <w:lvlText w:val="%2)"/>
      <w:lvlJc w:val="left"/>
      <w:pPr>
        <w:ind w:left="1020" w:hanging="360"/>
      </w:pPr>
    </w:lvl>
    <w:lvl w:ilvl="2" w:tplc="5C967B90">
      <w:start w:val="1"/>
      <w:numFmt w:val="lowerLetter"/>
      <w:lvlText w:val="%3)"/>
      <w:lvlJc w:val="left"/>
      <w:pPr>
        <w:ind w:left="1020" w:hanging="360"/>
      </w:pPr>
    </w:lvl>
    <w:lvl w:ilvl="3" w:tplc="D2548CA6">
      <w:start w:val="1"/>
      <w:numFmt w:val="lowerLetter"/>
      <w:lvlText w:val="%4)"/>
      <w:lvlJc w:val="left"/>
      <w:pPr>
        <w:ind w:left="1020" w:hanging="360"/>
      </w:pPr>
    </w:lvl>
    <w:lvl w:ilvl="4" w:tplc="24A678AE">
      <w:start w:val="1"/>
      <w:numFmt w:val="lowerLetter"/>
      <w:lvlText w:val="%5)"/>
      <w:lvlJc w:val="left"/>
      <w:pPr>
        <w:ind w:left="1020" w:hanging="360"/>
      </w:pPr>
    </w:lvl>
    <w:lvl w:ilvl="5" w:tplc="2C32EE1C">
      <w:start w:val="1"/>
      <w:numFmt w:val="lowerLetter"/>
      <w:lvlText w:val="%6)"/>
      <w:lvlJc w:val="left"/>
      <w:pPr>
        <w:ind w:left="1020" w:hanging="360"/>
      </w:pPr>
    </w:lvl>
    <w:lvl w:ilvl="6" w:tplc="42809876">
      <w:start w:val="1"/>
      <w:numFmt w:val="lowerLetter"/>
      <w:lvlText w:val="%7)"/>
      <w:lvlJc w:val="left"/>
      <w:pPr>
        <w:ind w:left="1020" w:hanging="360"/>
      </w:pPr>
    </w:lvl>
    <w:lvl w:ilvl="7" w:tplc="6B089F1C">
      <w:start w:val="1"/>
      <w:numFmt w:val="lowerLetter"/>
      <w:lvlText w:val="%8)"/>
      <w:lvlJc w:val="left"/>
      <w:pPr>
        <w:ind w:left="1020" w:hanging="360"/>
      </w:pPr>
    </w:lvl>
    <w:lvl w:ilvl="8" w:tplc="82349D9C">
      <w:start w:val="1"/>
      <w:numFmt w:val="lowerLetter"/>
      <w:lvlText w:val="%9)"/>
      <w:lvlJc w:val="left"/>
      <w:pPr>
        <w:ind w:left="1020" w:hanging="360"/>
      </w:pPr>
    </w:lvl>
  </w:abstractNum>
  <w:abstractNum w:abstractNumId="3" w15:restartNumberingAfterBreak="0">
    <w:nsid w:val="0C926821"/>
    <w:multiLevelType w:val="hybridMultilevel"/>
    <w:tmpl w:val="29609F88"/>
    <w:lvl w:ilvl="0" w:tplc="218EBEC0">
      <w:start w:val="1"/>
      <w:numFmt w:val="lowerLetter"/>
      <w:lvlText w:val="%1)"/>
      <w:lvlJc w:val="left"/>
      <w:pPr>
        <w:ind w:left="1020" w:hanging="360"/>
      </w:pPr>
    </w:lvl>
    <w:lvl w:ilvl="1" w:tplc="7DF4656E">
      <w:start w:val="1"/>
      <w:numFmt w:val="lowerLetter"/>
      <w:lvlText w:val="%2)"/>
      <w:lvlJc w:val="left"/>
      <w:pPr>
        <w:ind w:left="1020" w:hanging="360"/>
      </w:pPr>
    </w:lvl>
    <w:lvl w:ilvl="2" w:tplc="CA329CBE">
      <w:start w:val="1"/>
      <w:numFmt w:val="lowerLetter"/>
      <w:lvlText w:val="%3)"/>
      <w:lvlJc w:val="left"/>
      <w:pPr>
        <w:ind w:left="1020" w:hanging="360"/>
      </w:pPr>
    </w:lvl>
    <w:lvl w:ilvl="3" w:tplc="9C3886F8">
      <w:start w:val="1"/>
      <w:numFmt w:val="lowerLetter"/>
      <w:lvlText w:val="%4)"/>
      <w:lvlJc w:val="left"/>
      <w:pPr>
        <w:ind w:left="1020" w:hanging="360"/>
      </w:pPr>
    </w:lvl>
    <w:lvl w:ilvl="4" w:tplc="5E3C9892">
      <w:start w:val="1"/>
      <w:numFmt w:val="lowerLetter"/>
      <w:lvlText w:val="%5)"/>
      <w:lvlJc w:val="left"/>
      <w:pPr>
        <w:ind w:left="1020" w:hanging="360"/>
      </w:pPr>
    </w:lvl>
    <w:lvl w:ilvl="5" w:tplc="9C501448">
      <w:start w:val="1"/>
      <w:numFmt w:val="lowerLetter"/>
      <w:lvlText w:val="%6)"/>
      <w:lvlJc w:val="left"/>
      <w:pPr>
        <w:ind w:left="1020" w:hanging="360"/>
      </w:pPr>
    </w:lvl>
    <w:lvl w:ilvl="6" w:tplc="63CC27A2">
      <w:start w:val="1"/>
      <w:numFmt w:val="lowerLetter"/>
      <w:lvlText w:val="%7)"/>
      <w:lvlJc w:val="left"/>
      <w:pPr>
        <w:ind w:left="1020" w:hanging="360"/>
      </w:pPr>
    </w:lvl>
    <w:lvl w:ilvl="7" w:tplc="D1D0AFEA">
      <w:start w:val="1"/>
      <w:numFmt w:val="lowerLetter"/>
      <w:lvlText w:val="%8)"/>
      <w:lvlJc w:val="left"/>
      <w:pPr>
        <w:ind w:left="1020" w:hanging="360"/>
      </w:pPr>
    </w:lvl>
    <w:lvl w:ilvl="8" w:tplc="46D4B418">
      <w:start w:val="1"/>
      <w:numFmt w:val="lowerLetter"/>
      <w:lvlText w:val="%9)"/>
      <w:lvlJc w:val="left"/>
      <w:pPr>
        <w:ind w:left="1020" w:hanging="360"/>
      </w:pPr>
    </w:lvl>
  </w:abstractNum>
  <w:abstractNum w:abstractNumId="4" w15:restartNumberingAfterBreak="0">
    <w:nsid w:val="14594953"/>
    <w:multiLevelType w:val="multilevel"/>
    <w:tmpl w:val="905CA2D0"/>
    <w:styleLink w:val="StyleNumberedLeft063cmHanging063cm"/>
    <w:lvl w:ilvl="0">
      <w:start w:val="1"/>
      <w:numFmt w:val="decimal"/>
      <w:lvlText w:val="%1."/>
      <w:lvlJc w:val="left"/>
      <w:pPr>
        <w:ind w:left="567" w:hanging="567"/>
      </w:pPr>
      <w:rPr>
        <w:rFonts w:ascii="Verdana" w:hAnsi="Verdana" w:hint="default"/>
        <w:color w:val="auto"/>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AAE4B12"/>
    <w:multiLevelType w:val="hybridMultilevel"/>
    <w:tmpl w:val="D858567C"/>
    <w:lvl w:ilvl="0" w:tplc="8ABE29F0">
      <w:start w:val="1"/>
      <w:numFmt w:val="upperLetter"/>
      <w:pStyle w:val="Part"/>
      <w:lvlText w:val="Part %1."/>
      <w:lvlJc w:val="left"/>
      <w:pPr>
        <w:ind w:left="360" w:hanging="360"/>
      </w:pPr>
      <w:rPr>
        <w:rFonts w:hint="default"/>
      </w:rPr>
    </w:lvl>
    <w:lvl w:ilvl="1" w:tplc="37729614" w:tentative="1">
      <w:start w:val="1"/>
      <w:numFmt w:val="lowerLetter"/>
      <w:lvlText w:val="%2."/>
      <w:lvlJc w:val="left"/>
      <w:pPr>
        <w:ind w:left="1080" w:hanging="360"/>
      </w:pPr>
    </w:lvl>
    <w:lvl w:ilvl="2" w:tplc="259E84F0" w:tentative="1">
      <w:start w:val="1"/>
      <w:numFmt w:val="lowerRoman"/>
      <w:lvlText w:val="%3."/>
      <w:lvlJc w:val="right"/>
      <w:pPr>
        <w:ind w:left="1800" w:hanging="180"/>
      </w:pPr>
    </w:lvl>
    <w:lvl w:ilvl="3" w:tplc="6004F50A" w:tentative="1">
      <w:start w:val="1"/>
      <w:numFmt w:val="decimal"/>
      <w:lvlText w:val="%4."/>
      <w:lvlJc w:val="left"/>
      <w:pPr>
        <w:ind w:left="2520" w:hanging="360"/>
      </w:pPr>
    </w:lvl>
    <w:lvl w:ilvl="4" w:tplc="0602D384" w:tentative="1">
      <w:start w:val="1"/>
      <w:numFmt w:val="lowerLetter"/>
      <w:lvlText w:val="%5."/>
      <w:lvlJc w:val="left"/>
      <w:pPr>
        <w:ind w:left="3240" w:hanging="360"/>
      </w:pPr>
    </w:lvl>
    <w:lvl w:ilvl="5" w:tplc="EABAA79C" w:tentative="1">
      <w:start w:val="1"/>
      <w:numFmt w:val="lowerRoman"/>
      <w:lvlText w:val="%6."/>
      <w:lvlJc w:val="right"/>
      <w:pPr>
        <w:ind w:left="3960" w:hanging="180"/>
      </w:pPr>
    </w:lvl>
    <w:lvl w:ilvl="6" w:tplc="87DA3334" w:tentative="1">
      <w:start w:val="1"/>
      <w:numFmt w:val="decimal"/>
      <w:lvlText w:val="%7."/>
      <w:lvlJc w:val="left"/>
      <w:pPr>
        <w:ind w:left="4680" w:hanging="360"/>
      </w:pPr>
    </w:lvl>
    <w:lvl w:ilvl="7" w:tplc="A20E7748" w:tentative="1">
      <w:start w:val="1"/>
      <w:numFmt w:val="lowerLetter"/>
      <w:lvlText w:val="%8."/>
      <w:lvlJc w:val="left"/>
      <w:pPr>
        <w:ind w:left="5400" w:hanging="360"/>
      </w:pPr>
    </w:lvl>
    <w:lvl w:ilvl="8" w:tplc="9636368C" w:tentative="1">
      <w:start w:val="1"/>
      <w:numFmt w:val="lowerRoman"/>
      <w:lvlText w:val="%9."/>
      <w:lvlJc w:val="right"/>
      <w:pPr>
        <w:ind w:left="6120" w:hanging="180"/>
      </w:pPr>
    </w:lvl>
  </w:abstractNum>
  <w:abstractNum w:abstractNumId="6" w15:restartNumberingAfterBreak="0">
    <w:nsid w:val="2CDD5AC9"/>
    <w:multiLevelType w:val="hybridMultilevel"/>
    <w:tmpl w:val="6BF4C784"/>
    <w:lvl w:ilvl="0" w:tplc="3E34C86E">
      <w:start w:val="1"/>
      <w:numFmt w:val="bullet"/>
      <w:pStyle w:val="Level2Indent"/>
      <w:lvlText w:val=""/>
      <w:lvlJc w:val="left"/>
      <w:pPr>
        <w:ind w:left="927" w:hanging="360"/>
      </w:pPr>
      <w:rPr>
        <w:rFonts w:ascii="Symbol" w:hAnsi="Symbol" w:hint="default"/>
      </w:rPr>
    </w:lvl>
    <w:lvl w:ilvl="1" w:tplc="A300A958">
      <w:start w:val="1"/>
      <w:numFmt w:val="bullet"/>
      <w:lvlText w:val="o"/>
      <w:lvlJc w:val="left"/>
      <w:pPr>
        <w:ind w:left="1647" w:hanging="360"/>
      </w:pPr>
      <w:rPr>
        <w:rFonts w:ascii="Courier New" w:hAnsi="Courier New" w:cs="Courier New" w:hint="default"/>
      </w:rPr>
    </w:lvl>
    <w:lvl w:ilvl="2" w:tplc="03DEC650" w:tentative="1">
      <w:start w:val="1"/>
      <w:numFmt w:val="bullet"/>
      <w:lvlText w:val=""/>
      <w:lvlJc w:val="left"/>
      <w:pPr>
        <w:ind w:left="2367" w:hanging="360"/>
      </w:pPr>
      <w:rPr>
        <w:rFonts w:ascii="Wingdings" w:hAnsi="Wingdings" w:hint="default"/>
      </w:rPr>
    </w:lvl>
    <w:lvl w:ilvl="3" w:tplc="999091E2" w:tentative="1">
      <w:start w:val="1"/>
      <w:numFmt w:val="bullet"/>
      <w:lvlText w:val=""/>
      <w:lvlJc w:val="left"/>
      <w:pPr>
        <w:ind w:left="3087" w:hanging="360"/>
      </w:pPr>
      <w:rPr>
        <w:rFonts w:ascii="Symbol" w:hAnsi="Symbol" w:hint="default"/>
      </w:rPr>
    </w:lvl>
    <w:lvl w:ilvl="4" w:tplc="17C8A568" w:tentative="1">
      <w:start w:val="1"/>
      <w:numFmt w:val="bullet"/>
      <w:lvlText w:val="o"/>
      <w:lvlJc w:val="left"/>
      <w:pPr>
        <w:ind w:left="3807" w:hanging="360"/>
      </w:pPr>
      <w:rPr>
        <w:rFonts w:ascii="Courier New" w:hAnsi="Courier New" w:cs="Courier New" w:hint="default"/>
      </w:rPr>
    </w:lvl>
    <w:lvl w:ilvl="5" w:tplc="1D9AFA86" w:tentative="1">
      <w:start w:val="1"/>
      <w:numFmt w:val="bullet"/>
      <w:lvlText w:val=""/>
      <w:lvlJc w:val="left"/>
      <w:pPr>
        <w:ind w:left="4527" w:hanging="360"/>
      </w:pPr>
      <w:rPr>
        <w:rFonts w:ascii="Wingdings" w:hAnsi="Wingdings" w:hint="default"/>
      </w:rPr>
    </w:lvl>
    <w:lvl w:ilvl="6" w:tplc="8864DC9C" w:tentative="1">
      <w:start w:val="1"/>
      <w:numFmt w:val="bullet"/>
      <w:lvlText w:val=""/>
      <w:lvlJc w:val="left"/>
      <w:pPr>
        <w:ind w:left="5247" w:hanging="360"/>
      </w:pPr>
      <w:rPr>
        <w:rFonts w:ascii="Symbol" w:hAnsi="Symbol" w:hint="default"/>
      </w:rPr>
    </w:lvl>
    <w:lvl w:ilvl="7" w:tplc="F6FA9842" w:tentative="1">
      <w:start w:val="1"/>
      <w:numFmt w:val="bullet"/>
      <w:lvlText w:val="o"/>
      <w:lvlJc w:val="left"/>
      <w:pPr>
        <w:ind w:left="5967" w:hanging="360"/>
      </w:pPr>
      <w:rPr>
        <w:rFonts w:ascii="Courier New" w:hAnsi="Courier New" w:cs="Courier New" w:hint="default"/>
      </w:rPr>
    </w:lvl>
    <w:lvl w:ilvl="8" w:tplc="B9F438BE" w:tentative="1">
      <w:start w:val="1"/>
      <w:numFmt w:val="bullet"/>
      <w:lvlText w:val=""/>
      <w:lvlJc w:val="left"/>
      <w:pPr>
        <w:ind w:left="6687" w:hanging="360"/>
      </w:pPr>
      <w:rPr>
        <w:rFonts w:ascii="Wingdings" w:hAnsi="Wingdings" w:hint="default"/>
      </w:rPr>
    </w:lvl>
  </w:abstractNum>
  <w:abstractNum w:abstractNumId="7" w15:restartNumberingAfterBreak="0">
    <w:nsid w:val="531E7ECF"/>
    <w:multiLevelType w:val="multilevel"/>
    <w:tmpl w:val="5ECC3B48"/>
    <w:lvl w:ilvl="0">
      <w:start w:val="1"/>
      <w:numFmt w:val="decimal"/>
      <w:pStyle w:val="NumStyle2Lev2"/>
      <w:lvlText w:val="%1."/>
      <w:lvlJc w:val="left"/>
      <w:pPr>
        <w:ind w:left="567" w:hanging="567"/>
      </w:pPr>
      <w:rPr>
        <w:rFonts w:ascii="Arial" w:hAnsi="Arial" w:hint="default"/>
        <w:b w:val="0"/>
        <w:bCs w:val="0"/>
        <w:i w:val="0"/>
        <w:iCs w:val="0"/>
        <w:caps w:val="0"/>
        <w:smallCaps w:val="0"/>
        <w:strike w:val="0"/>
        <w:dstrike w:val="0"/>
        <w:outline w:val="0"/>
        <w:shadow w:val="0"/>
        <w:emboss w:val="0"/>
        <w:imprint w:val="0"/>
        <w:noProof w:val="0"/>
        <w:vanish w:val="0"/>
        <w:spacing w:val="0"/>
        <w:kern w:val="0"/>
        <w:position w:val="0"/>
        <w:sz w:val="21"/>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lowerLetter"/>
      <w:pStyle w:val="NumStyle2Lev3"/>
      <w:lvlText w:val="(%2)"/>
      <w:lvlJc w:val="left"/>
      <w:pPr>
        <w:ind w:left="1134"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bullet"/>
      <w:pStyle w:val="NumStyle2Lev4"/>
      <w:lvlText w:val=""/>
      <w:lvlJc w:val="left"/>
      <w:pPr>
        <w:ind w:left="1494" w:hanging="360"/>
      </w:pPr>
      <w:rPr>
        <w:rFonts w:ascii="Symbol" w:hAnsi="Symbol" w:hint="default"/>
      </w:rPr>
    </w:lvl>
    <w:lvl w:ilvl="3">
      <w:start w:val="1"/>
      <w:numFmt w:val="bullet"/>
      <w:lvlText w:val="o"/>
      <w:lvlJc w:val="left"/>
      <w:pPr>
        <w:ind w:left="2520" w:hanging="360"/>
      </w:pPr>
      <w:rPr>
        <w:rFonts w:ascii="Courier New" w:hAnsi="Courier New" w:cs="Courier New"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55461453"/>
    <w:multiLevelType w:val="hybridMultilevel"/>
    <w:tmpl w:val="4C304DF0"/>
    <w:lvl w:ilvl="0" w:tplc="56381276">
      <w:start w:val="1"/>
      <w:numFmt w:val="bullet"/>
      <w:lvlText w:val=""/>
      <w:lvlJc w:val="left"/>
      <w:pPr>
        <w:ind w:left="927" w:hanging="360"/>
      </w:pPr>
      <w:rPr>
        <w:rFonts w:ascii="Symbol" w:hAnsi="Symbol" w:hint="default"/>
      </w:rPr>
    </w:lvl>
    <w:lvl w:ilvl="1" w:tplc="880258C8">
      <w:start w:val="1"/>
      <w:numFmt w:val="bullet"/>
      <w:lvlText w:val="o"/>
      <w:lvlJc w:val="left"/>
      <w:pPr>
        <w:ind w:left="1647" w:hanging="360"/>
      </w:pPr>
      <w:rPr>
        <w:rFonts w:ascii="Courier New" w:hAnsi="Courier New" w:hint="default"/>
      </w:rPr>
    </w:lvl>
    <w:lvl w:ilvl="2" w:tplc="792E344C">
      <w:start w:val="1"/>
      <w:numFmt w:val="bullet"/>
      <w:lvlText w:val=""/>
      <w:lvlJc w:val="left"/>
      <w:pPr>
        <w:ind w:left="2367" w:hanging="360"/>
      </w:pPr>
      <w:rPr>
        <w:rFonts w:ascii="Wingdings" w:hAnsi="Wingdings" w:hint="default"/>
      </w:rPr>
    </w:lvl>
    <w:lvl w:ilvl="3" w:tplc="CD9A3960">
      <w:start w:val="1"/>
      <w:numFmt w:val="bullet"/>
      <w:lvlText w:val=""/>
      <w:lvlJc w:val="left"/>
      <w:pPr>
        <w:ind w:left="3087" w:hanging="360"/>
      </w:pPr>
      <w:rPr>
        <w:rFonts w:ascii="Symbol" w:hAnsi="Symbol" w:hint="default"/>
      </w:rPr>
    </w:lvl>
    <w:lvl w:ilvl="4" w:tplc="A7F29B10">
      <w:start w:val="1"/>
      <w:numFmt w:val="bullet"/>
      <w:lvlText w:val="o"/>
      <w:lvlJc w:val="left"/>
      <w:pPr>
        <w:ind w:left="3807" w:hanging="360"/>
      </w:pPr>
      <w:rPr>
        <w:rFonts w:ascii="Courier New" w:hAnsi="Courier New" w:hint="default"/>
      </w:rPr>
    </w:lvl>
    <w:lvl w:ilvl="5" w:tplc="55F2AADC">
      <w:start w:val="1"/>
      <w:numFmt w:val="bullet"/>
      <w:lvlText w:val=""/>
      <w:lvlJc w:val="left"/>
      <w:pPr>
        <w:ind w:left="4527" w:hanging="360"/>
      </w:pPr>
      <w:rPr>
        <w:rFonts w:ascii="Wingdings" w:hAnsi="Wingdings" w:hint="default"/>
      </w:rPr>
    </w:lvl>
    <w:lvl w:ilvl="6" w:tplc="5DCA856A">
      <w:start w:val="1"/>
      <w:numFmt w:val="bullet"/>
      <w:lvlText w:val=""/>
      <w:lvlJc w:val="left"/>
      <w:pPr>
        <w:ind w:left="5247" w:hanging="360"/>
      </w:pPr>
      <w:rPr>
        <w:rFonts w:ascii="Symbol" w:hAnsi="Symbol" w:hint="default"/>
      </w:rPr>
    </w:lvl>
    <w:lvl w:ilvl="7" w:tplc="D6621A24">
      <w:start w:val="1"/>
      <w:numFmt w:val="bullet"/>
      <w:lvlText w:val="o"/>
      <w:lvlJc w:val="left"/>
      <w:pPr>
        <w:ind w:left="5967" w:hanging="360"/>
      </w:pPr>
      <w:rPr>
        <w:rFonts w:ascii="Courier New" w:hAnsi="Courier New" w:hint="default"/>
      </w:rPr>
    </w:lvl>
    <w:lvl w:ilvl="8" w:tplc="19E6CB4C">
      <w:start w:val="1"/>
      <w:numFmt w:val="bullet"/>
      <w:lvlText w:val=""/>
      <w:lvlJc w:val="left"/>
      <w:pPr>
        <w:ind w:left="6687" w:hanging="360"/>
      </w:pPr>
      <w:rPr>
        <w:rFonts w:ascii="Wingdings" w:hAnsi="Wingdings" w:hint="default"/>
      </w:rPr>
    </w:lvl>
  </w:abstractNum>
  <w:abstractNum w:abstractNumId="9" w15:restartNumberingAfterBreak="0">
    <w:nsid w:val="57C1F5B6"/>
    <w:multiLevelType w:val="hybridMultilevel"/>
    <w:tmpl w:val="C2D60266"/>
    <w:lvl w:ilvl="0" w:tplc="48A07DDC">
      <w:start w:val="1"/>
      <w:numFmt w:val="bullet"/>
      <w:lvlText w:val=""/>
      <w:lvlJc w:val="left"/>
      <w:pPr>
        <w:ind w:left="720" w:hanging="360"/>
      </w:pPr>
      <w:rPr>
        <w:rFonts w:ascii="Symbol" w:hAnsi="Symbol" w:hint="default"/>
      </w:rPr>
    </w:lvl>
    <w:lvl w:ilvl="1" w:tplc="C0DEABAC">
      <w:start w:val="1"/>
      <w:numFmt w:val="bullet"/>
      <w:lvlText w:val="o"/>
      <w:lvlJc w:val="left"/>
      <w:pPr>
        <w:ind w:left="1440" w:hanging="360"/>
      </w:pPr>
      <w:rPr>
        <w:rFonts w:ascii="Courier New" w:hAnsi="Courier New" w:hint="default"/>
      </w:rPr>
    </w:lvl>
    <w:lvl w:ilvl="2" w:tplc="64CC46C2">
      <w:start w:val="1"/>
      <w:numFmt w:val="bullet"/>
      <w:lvlText w:val=""/>
      <w:lvlJc w:val="left"/>
      <w:pPr>
        <w:ind w:left="2160" w:hanging="360"/>
      </w:pPr>
      <w:rPr>
        <w:rFonts w:ascii="Wingdings" w:hAnsi="Wingdings" w:hint="default"/>
      </w:rPr>
    </w:lvl>
    <w:lvl w:ilvl="3" w:tplc="E4E01C0A">
      <w:start w:val="1"/>
      <w:numFmt w:val="bullet"/>
      <w:lvlText w:val=""/>
      <w:lvlJc w:val="left"/>
      <w:pPr>
        <w:ind w:left="2880" w:hanging="360"/>
      </w:pPr>
      <w:rPr>
        <w:rFonts w:ascii="Symbol" w:hAnsi="Symbol" w:hint="default"/>
      </w:rPr>
    </w:lvl>
    <w:lvl w:ilvl="4" w:tplc="05FCECB4">
      <w:start w:val="1"/>
      <w:numFmt w:val="bullet"/>
      <w:lvlText w:val="o"/>
      <w:lvlJc w:val="left"/>
      <w:pPr>
        <w:ind w:left="3600" w:hanging="360"/>
      </w:pPr>
      <w:rPr>
        <w:rFonts w:ascii="Courier New" w:hAnsi="Courier New" w:hint="default"/>
      </w:rPr>
    </w:lvl>
    <w:lvl w:ilvl="5" w:tplc="701689A8">
      <w:start w:val="1"/>
      <w:numFmt w:val="bullet"/>
      <w:lvlText w:val=""/>
      <w:lvlJc w:val="left"/>
      <w:pPr>
        <w:ind w:left="4320" w:hanging="360"/>
      </w:pPr>
      <w:rPr>
        <w:rFonts w:ascii="Wingdings" w:hAnsi="Wingdings" w:hint="default"/>
      </w:rPr>
    </w:lvl>
    <w:lvl w:ilvl="6" w:tplc="92CC0C5A">
      <w:start w:val="1"/>
      <w:numFmt w:val="bullet"/>
      <w:lvlText w:val=""/>
      <w:lvlJc w:val="left"/>
      <w:pPr>
        <w:ind w:left="5040" w:hanging="360"/>
      </w:pPr>
      <w:rPr>
        <w:rFonts w:ascii="Symbol" w:hAnsi="Symbol" w:hint="default"/>
      </w:rPr>
    </w:lvl>
    <w:lvl w:ilvl="7" w:tplc="2EB4FB94">
      <w:start w:val="1"/>
      <w:numFmt w:val="bullet"/>
      <w:lvlText w:val="o"/>
      <w:lvlJc w:val="left"/>
      <w:pPr>
        <w:ind w:left="5760" w:hanging="360"/>
      </w:pPr>
      <w:rPr>
        <w:rFonts w:ascii="Courier New" w:hAnsi="Courier New" w:hint="default"/>
      </w:rPr>
    </w:lvl>
    <w:lvl w:ilvl="8" w:tplc="E194905C">
      <w:start w:val="1"/>
      <w:numFmt w:val="bullet"/>
      <w:lvlText w:val=""/>
      <w:lvlJc w:val="left"/>
      <w:pPr>
        <w:ind w:left="6480" w:hanging="360"/>
      </w:pPr>
      <w:rPr>
        <w:rFonts w:ascii="Wingdings" w:hAnsi="Wingdings" w:hint="default"/>
      </w:rPr>
    </w:lvl>
  </w:abstractNum>
  <w:abstractNum w:abstractNumId="10" w15:restartNumberingAfterBreak="0">
    <w:nsid w:val="58C2E258"/>
    <w:multiLevelType w:val="hybridMultilevel"/>
    <w:tmpl w:val="68C8185A"/>
    <w:lvl w:ilvl="0" w:tplc="B678C332">
      <w:start w:val="1"/>
      <w:numFmt w:val="bullet"/>
      <w:lvlText w:val=""/>
      <w:lvlJc w:val="left"/>
      <w:pPr>
        <w:ind w:left="927" w:hanging="360"/>
      </w:pPr>
      <w:rPr>
        <w:rFonts w:ascii="Symbol" w:hAnsi="Symbol" w:hint="default"/>
      </w:rPr>
    </w:lvl>
    <w:lvl w:ilvl="1" w:tplc="002C1A48">
      <w:start w:val="1"/>
      <w:numFmt w:val="bullet"/>
      <w:lvlText w:val="o"/>
      <w:lvlJc w:val="left"/>
      <w:pPr>
        <w:ind w:left="1647" w:hanging="360"/>
      </w:pPr>
      <w:rPr>
        <w:rFonts w:ascii="Courier New" w:hAnsi="Courier New" w:hint="default"/>
      </w:rPr>
    </w:lvl>
    <w:lvl w:ilvl="2" w:tplc="8D7A16CC">
      <w:start w:val="1"/>
      <w:numFmt w:val="bullet"/>
      <w:lvlText w:val=""/>
      <w:lvlJc w:val="left"/>
      <w:pPr>
        <w:ind w:left="2367" w:hanging="360"/>
      </w:pPr>
      <w:rPr>
        <w:rFonts w:ascii="Wingdings" w:hAnsi="Wingdings" w:hint="default"/>
      </w:rPr>
    </w:lvl>
    <w:lvl w:ilvl="3" w:tplc="D1F2B316">
      <w:start w:val="1"/>
      <w:numFmt w:val="bullet"/>
      <w:lvlText w:val=""/>
      <w:lvlJc w:val="left"/>
      <w:pPr>
        <w:ind w:left="3087" w:hanging="360"/>
      </w:pPr>
      <w:rPr>
        <w:rFonts w:ascii="Symbol" w:hAnsi="Symbol" w:hint="default"/>
      </w:rPr>
    </w:lvl>
    <w:lvl w:ilvl="4" w:tplc="026E7508">
      <w:start w:val="1"/>
      <w:numFmt w:val="bullet"/>
      <w:lvlText w:val="o"/>
      <w:lvlJc w:val="left"/>
      <w:pPr>
        <w:ind w:left="3807" w:hanging="360"/>
      </w:pPr>
      <w:rPr>
        <w:rFonts w:ascii="Courier New" w:hAnsi="Courier New" w:hint="default"/>
      </w:rPr>
    </w:lvl>
    <w:lvl w:ilvl="5" w:tplc="2B6E86A6">
      <w:start w:val="1"/>
      <w:numFmt w:val="bullet"/>
      <w:lvlText w:val=""/>
      <w:lvlJc w:val="left"/>
      <w:pPr>
        <w:ind w:left="4527" w:hanging="360"/>
      </w:pPr>
      <w:rPr>
        <w:rFonts w:ascii="Wingdings" w:hAnsi="Wingdings" w:hint="default"/>
      </w:rPr>
    </w:lvl>
    <w:lvl w:ilvl="6" w:tplc="F1D89D5E">
      <w:start w:val="1"/>
      <w:numFmt w:val="bullet"/>
      <w:lvlText w:val=""/>
      <w:lvlJc w:val="left"/>
      <w:pPr>
        <w:ind w:left="5247" w:hanging="360"/>
      </w:pPr>
      <w:rPr>
        <w:rFonts w:ascii="Symbol" w:hAnsi="Symbol" w:hint="default"/>
      </w:rPr>
    </w:lvl>
    <w:lvl w:ilvl="7" w:tplc="B07AACDA">
      <w:start w:val="1"/>
      <w:numFmt w:val="bullet"/>
      <w:lvlText w:val="o"/>
      <w:lvlJc w:val="left"/>
      <w:pPr>
        <w:ind w:left="5967" w:hanging="360"/>
      </w:pPr>
      <w:rPr>
        <w:rFonts w:ascii="Courier New" w:hAnsi="Courier New" w:hint="default"/>
      </w:rPr>
    </w:lvl>
    <w:lvl w:ilvl="8" w:tplc="BE0A12A6">
      <w:start w:val="1"/>
      <w:numFmt w:val="bullet"/>
      <w:lvlText w:val=""/>
      <w:lvlJc w:val="left"/>
      <w:pPr>
        <w:ind w:left="6687" w:hanging="360"/>
      </w:pPr>
      <w:rPr>
        <w:rFonts w:ascii="Wingdings" w:hAnsi="Wingdings" w:hint="default"/>
      </w:rPr>
    </w:lvl>
  </w:abstractNum>
  <w:abstractNum w:abstractNumId="11" w15:restartNumberingAfterBreak="0">
    <w:nsid w:val="5CFE376C"/>
    <w:multiLevelType w:val="multilevel"/>
    <w:tmpl w:val="8CE2496A"/>
    <w:lvl w:ilvl="0">
      <w:start w:val="1"/>
      <w:numFmt w:val="decimal"/>
      <w:pStyle w:val="Heading1"/>
      <w:lvlText w:val="%1."/>
      <w:lvlJc w:val="left"/>
      <w:pPr>
        <w:ind w:left="709" w:hanging="709"/>
      </w:pPr>
      <w:rPr>
        <w:rFonts w:hint="default"/>
      </w:rPr>
    </w:lvl>
    <w:lvl w:ilvl="1">
      <w:start w:val="1"/>
      <w:numFmt w:val="decimal"/>
      <w:pStyle w:val="Heading2"/>
      <w:lvlText w:val="%1.%2"/>
      <w:lvlJc w:val="left"/>
      <w:pPr>
        <w:ind w:left="709" w:hanging="709"/>
      </w:pPr>
      <w:rPr>
        <w:rFonts w:hint="default"/>
      </w:rPr>
    </w:lvl>
    <w:lvl w:ilvl="2">
      <w:start w:val="1"/>
      <w:numFmt w:val="decimal"/>
      <w:pStyle w:val="Heading3"/>
      <w:lvlText w:val="%1.%2.%3"/>
      <w:lvlJc w:val="left"/>
      <w:pPr>
        <w:tabs>
          <w:tab w:val="num" w:pos="1276"/>
        </w:tabs>
        <w:ind w:left="1985" w:hanging="709"/>
      </w:pPr>
      <w:rPr>
        <w:rFonts w:hint="default"/>
      </w:rPr>
    </w:lvl>
    <w:lvl w:ilvl="3">
      <w:start w:val="1"/>
      <w:numFmt w:val="decimal"/>
      <w:lvlText w:val="%1.%2.%3.%4"/>
      <w:lvlJc w:val="left"/>
      <w:pPr>
        <w:ind w:left="3024" w:hanging="864"/>
      </w:pPr>
      <w:rPr>
        <w:rFonts w:hint="default"/>
      </w:rPr>
    </w:lvl>
    <w:lvl w:ilvl="4">
      <w:start w:val="1"/>
      <w:numFmt w:val="decimal"/>
      <w:lvlText w:val="%1.%2.%3.%4.%5"/>
      <w:lvlJc w:val="left"/>
      <w:pPr>
        <w:ind w:left="3168" w:hanging="1008"/>
      </w:pPr>
      <w:rPr>
        <w:rFonts w:hint="default"/>
      </w:rPr>
    </w:lvl>
    <w:lvl w:ilvl="5">
      <w:start w:val="1"/>
      <w:numFmt w:val="decimal"/>
      <w:lvlText w:val="%1.%2.%3.%4.%5.%6"/>
      <w:lvlJc w:val="left"/>
      <w:pPr>
        <w:ind w:left="3312" w:hanging="1152"/>
      </w:pPr>
      <w:rPr>
        <w:rFonts w:hint="default"/>
      </w:rPr>
    </w:lvl>
    <w:lvl w:ilvl="6">
      <w:start w:val="1"/>
      <w:numFmt w:val="decimal"/>
      <w:lvlText w:val="%1.%2.%3.%4.%5.%6.%7"/>
      <w:lvlJc w:val="left"/>
      <w:pPr>
        <w:ind w:left="3456" w:hanging="1296"/>
      </w:pPr>
      <w:rPr>
        <w:rFonts w:hint="default"/>
      </w:rPr>
    </w:lvl>
    <w:lvl w:ilvl="7">
      <w:start w:val="1"/>
      <w:numFmt w:val="decimal"/>
      <w:lvlText w:val="%1.%2.%3.%4.%5.%6.%7.%8"/>
      <w:lvlJc w:val="left"/>
      <w:pPr>
        <w:ind w:left="3600" w:hanging="1440"/>
      </w:pPr>
      <w:rPr>
        <w:rFonts w:hint="default"/>
      </w:rPr>
    </w:lvl>
    <w:lvl w:ilvl="8">
      <w:start w:val="1"/>
      <w:numFmt w:val="decimal"/>
      <w:lvlText w:val="%1.%2.%3.%4.%5.%6.%7.%8.%9"/>
      <w:lvlJc w:val="left"/>
      <w:pPr>
        <w:ind w:left="3744" w:hanging="1584"/>
      </w:pPr>
      <w:rPr>
        <w:rFonts w:hint="default"/>
      </w:rPr>
    </w:lvl>
  </w:abstractNum>
  <w:abstractNum w:abstractNumId="12" w15:restartNumberingAfterBreak="0">
    <w:nsid w:val="64247704"/>
    <w:multiLevelType w:val="multilevel"/>
    <w:tmpl w:val="D550F0BA"/>
    <w:styleLink w:val="Number2"/>
    <w:lvl w:ilvl="0">
      <w:start w:val="1"/>
      <w:numFmt w:val="decimal"/>
      <w:lvlText w:val="%1.1"/>
      <w:lvlJc w:val="left"/>
      <w:pPr>
        <w:ind w:left="720" w:hanging="360"/>
      </w:pPr>
      <w:rPr>
        <w:rFonts w:ascii="Verdana" w:hAnsi="Verdana" w:hint="default"/>
        <w:b w:val="0"/>
        <w:i w:val="0"/>
        <w:sz w:val="20"/>
      </w:rPr>
    </w:lvl>
    <w:lvl w:ilvl="1">
      <w:start w:val="1"/>
      <w:numFmt w:val="decimal"/>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6AA45F08"/>
    <w:multiLevelType w:val="multilevel"/>
    <w:tmpl w:val="DEC6E2A8"/>
    <w:name w:val="RMV RM-S Level List2"/>
    <w:lvl w:ilvl="0">
      <w:start w:val="1"/>
      <w:numFmt w:val="decimal"/>
      <w:pStyle w:val="RM-SLevel1"/>
      <w:lvlText w:val="%1."/>
      <w:lvlJc w:val="left"/>
      <w:pPr>
        <w:tabs>
          <w:tab w:val="num" w:pos="850"/>
        </w:tabs>
        <w:ind w:left="850" w:hanging="850"/>
      </w:pPr>
      <w:rPr>
        <w:rFonts w:ascii="Arial" w:hAnsi="Arial" w:cs="Arial" w:hint="default"/>
        <w:b w:val="0"/>
        <w:i w:val="0"/>
        <w:caps w:val="0"/>
        <w:smallCaps w:val="0"/>
        <w:strike w:val="0"/>
        <w:dstrike w:val="0"/>
        <w:outline w:val="0"/>
        <w:shadow w:val="0"/>
        <w:emboss w:val="0"/>
        <w:imprint w:val="0"/>
        <w:vanish w:val="0"/>
        <w:color w:val="auto"/>
        <w:sz w:val="20"/>
        <w:u w:val="none"/>
        <w:effect w:val="none"/>
        <w:vertAlign w:val="baseline"/>
      </w:rPr>
    </w:lvl>
    <w:lvl w:ilvl="1">
      <w:start w:val="1"/>
      <w:numFmt w:val="lowerLetter"/>
      <w:pStyle w:val="RM-SLevel2"/>
      <w:lvlText w:val="(%2)"/>
      <w:lvlJc w:val="left"/>
      <w:pPr>
        <w:tabs>
          <w:tab w:val="num" w:pos="1701"/>
        </w:tabs>
        <w:ind w:left="1701" w:hanging="851"/>
      </w:pPr>
      <w:rPr>
        <w:rFonts w:hint="default"/>
        <w:b w:val="0"/>
        <w:i w:val="0"/>
        <w:caps w:val="0"/>
        <w:strike w:val="0"/>
        <w:dstrike w:val="0"/>
        <w:outline w:val="0"/>
        <w:shadow w:val="0"/>
        <w:emboss w:val="0"/>
        <w:imprint w:val="0"/>
        <w:vanish w:val="0"/>
        <w:color w:val="auto"/>
        <w:sz w:val="20"/>
        <w:u w:val="none"/>
        <w:effect w:val="none"/>
        <w:vertAlign w:val="baseline"/>
      </w:rPr>
    </w:lvl>
    <w:lvl w:ilvl="2">
      <w:start w:val="1"/>
      <w:numFmt w:val="lowerRoman"/>
      <w:pStyle w:val="RM-SLevel3"/>
      <w:lvlText w:val="(%3)"/>
      <w:lvlJc w:val="left"/>
      <w:pPr>
        <w:tabs>
          <w:tab w:val="num" w:pos="2551"/>
        </w:tabs>
        <w:ind w:left="2551" w:hanging="850"/>
      </w:pPr>
      <w:rPr>
        <w:rFonts w:hint="default"/>
        <w:b w:val="0"/>
        <w:i w:val="0"/>
        <w:caps w:val="0"/>
        <w:strike w:val="0"/>
        <w:dstrike w:val="0"/>
        <w:outline w:val="0"/>
        <w:shadow w:val="0"/>
        <w:emboss w:val="0"/>
        <w:imprint w:val="0"/>
        <w:vanish w:val="0"/>
        <w:color w:val="auto"/>
        <w:sz w:val="20"/>
        <w:u w:val="none"/>
        <w:effect w:val="none"/>
        <w:vertAlign w:val="baseline"/>
      </w:rPr>
    </w:lvl>
    <w:lvl w:ilvl="3">
      <w:start w:val="27"/>
      <w:numFmt w:val="lowerLetter"/>
      <w:pStyle w:val="RM-SLevel4"/>
      <w:lvlText w:val="(%4)"/>
      <w:lvlJc w:val="left"/>
      <w:pPr>
        <w:tabs>
          <w:tab w:val="num" w:pos="3402"/>
        </w:tabs>
        <w:ind w:left="3402" w:hanging="851"/>
      </w:pPr>
      <w:rPr>
        <w:rFonts w:hint="default"/>
        <w:b w:val="0"/>
        <w:i w:val="0"/>
        <w:caps w:val="0"/>
        <w:strike w:val="0"/>
        <w:dstrike w:val="0"/>
        <w:outline w:val="0"/>
        <w:shadow w:val="0"/>
        <w:emboss w:val="0"/>
        <w:imprint w:val="0"/>
        <w:vanish w:val="0"/>
        <w:color w:val="auto"/>
        <w:sz w:val="20"/>
        <w:u w:val="none"/>
        <w:effect w:val="none"/>
        <w:vertAlign w:val="baseline"/>
      </w:rPr>
    </w:lvl>
    <w:lvl w:ilvl="4">
      <w:start w:val="1"/>
      <w:numFmt w:val="decimal"/>
      <w:pStyle w:val="RM-SLevel5"/>
      <w:lvlText w:val="(%5)"/>
      <w:lvlJc w:val="left"/>
      <w:pPr>
        <w:tabs>
          <w:tab w:val="num" w:pos="4252"/>
        </w:tabs>
        <w:ind w:left="4252" w:hanging="850"/>
      </w:pPr>
      <w:rPr>
        <w:rFonts w:hint="default"/>
        <w:b w:val="0"/>
        <w:i w:val="0"/>
        <w:caps w:val="0"/>
        <w:strike w:val="0"/>
        <w:dstrike w:val="0"/>
        <w:outline w:val="0"/>
        <w:shadow w:val="0"/>
        <w:emboss w:val="0"/>
        <w:imprint w:val="0"/>
        <w:vanish w:val="0"/>
        <w:color w:val="auto"/>
        <w:sz w:val="20"/>
        <w:u w:val="none"/>
        <w:effect w:val="none"/>
        <w:vertAlign w:val="baseline"/>
      </w:rPr>
    </w:lvl>
    <w:lvl w:ilvl="5">
      <w:start w:val="1"/>
      <w:numFmt w:val="upperLetter"/>
      <w:pStyle w:val="RM-SLevel6"/>
      <w:lvlText w:val="(%6)"/>
      <w:lvlJc w:val="left"/>
      <w:pPr>
        <w:tabs>
          <w:tab w:val="num" w:pos="5102"/>
        </w:tabs>
        <w:ind w:left="5102" w:hanging="850"/>
      </w:pPr>
      <w:rPr>
        <w:rFonts w:hint="default"/>
        <w:b w:val="0"/>
        <w:i w:val="0"/>
        <w:caps w:val="0"/>
        <w:strike w:val="0"/>
        <w:dstrike w:val="0"/>
        <w:outline w:val="0"/>
        <w:shadow w:val="0"/>
        <w:emboss w:val="0"/>
        <w:imprint w:val="0"/>
        <w:vanish w:val="0"/>
        <w:color w:val="auto"/>
        <w:sz w:val="20"/>
        <w:u w:val="none"/>
        <w:effect w:val="none"/>
        <w:vertAlign w:val="baseline"/>
      </w:rPr>
    </w:lvl>
    <w:lvl w:ilvl="6">
      <w:start w:val="1"/>
      <w:numFmt w:val="none"/>
      <w:lvlText w:val=""/>
      <w:lvlJc w:val="left"/>
      <w:pPr>
        <w:tabs>
          <w:tab w:val="num" w:pos="2551"/>
        </w:tabs>
        <w:ind w:left="2551" w:firstLine="0"/>
      </w:pPr>
      <w:rPr>
        <w:rFonts w:hint="default"/>
        <w:b w:val="0"/>
        <w:i w:val="0"/>
        <w:caps w:val="0"/>
        <w:strike w:val="0"/>
        <w:dstrike w:val="0"/>
        <w:outline w:val="0"/>
        <w:shadow w:val="0"/>
        <w:emboss w:val="0"/>
        <w:imprint w:val="0"/>
        <w:vanish w:val="0"/>
        <w:color w:val="auto"/>
        <w:sz w:val="20"/>
        <w:u w:val="none"/>
        <w:effect w:val="none"/>
        <w:vertAlign w:val="baseline"/>
      </w:rPr>
    </w:lvl>
    <w:lvl w:ilvl="7">
      <w:start w:val="1"/>
      <w:numFmt w:val="none"/>
      <w:lvlText w:val=""/>
      <w:lvlJc w:val="left"/>
      <w:pPr>
        <w:tabs>
          <w:tab w:val="num" w:pos="2551"/>
        </w:tabs>
        <w:ind w:left="2551" w:firstLine="0"/>
      </w:pPr>
      <w:rPr>
        <w:rFonts w:hint="default"/>
        <w:b w:val="0"/>
        <w:i w:val="0"/>
        <w:caps w:val="0"/>
        <w:strike w:val="0"/>
        <w:dstrike w:val="0"/>
        <w:outline w:val="0"/>
        <w:shadow w:val="0"/>
        <w:emboss w:val="0"/>
        <w:imprint w:val="0"/>
        <w:vanish w:val="0"/>
        <w:color w:val="auto"/>
        <w:sz w:val="20"/>
        <w:u w:val="none"/>
        <w:effect w:val="none"/>
        <w:vertAlign w:val="baseline"/>
      </w:rPr>
    </w:lvl>
    <w:lvl w:ilvl="8">
      <w:start w:val="1"/>
      <w:numFmt w:val="none"/>
      <w:lvlText w:val=""/>
      <w:lvlJc w:val="left"/>
      <w:pPr>
        <w:tabs>
          <w:tab w:val="num" w:pos="2551"/>
        </w:tabs>
        <w:ind w:left="2551" w:firstLine="0"/>
      </w:pPr>
      <w:rPr>
        <w:rFonts w:hint="default"/>
        <w:b w:val="0"/>
        <w:i w:val="0"/>
        <w:caps w:val="0"/>
        <w:strike w:val="0"/>
        <w:dstrike w:val="0"/>
        <w:outline w:val="0"/>
        <w:shadow w:val="0"/>
        <w:emboss w:val="0"/>
        <w:imprint w:val="0"/>
        <w:vanish w:val="0"/>
        <w:color w:val="auto"/>
        <w:sz w:val="20"/>
        <w:u w:val="none"/>
        <w:effect w:val="none"/>
        <w:vertAlign w:val="baseline"/>
      </w:rPr>
    </w:lvl>
  </w:abstractNum>
  <w:abstractNum w:abstractNumId="14" w15:restartNumberingAfterBreak="0">
    <w:nsid w:val="70745F91"/>
    <w:multiLevelType w:val="multilevel"/>
    <w:tmpl w:val="0AAA6468"/>
    <w:lvl w:ilvl="0">
      <w:start w:val="1"/>
      <w:numFmt w:val="lowerLetter"/>
      <w:pStyle w:val="Level3Indent"/>
      <w:lvlText w:val="%1."/>
      <w:lvlJc w:val="left"/>
      <w:pPr>
        <w:ind w:left="567"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5" w15:restartNumberingAfterBreak="0">
    <w:nsid w:val="7FD14A24"/>
    <w:multiLevelType w:val="multilevel"/>
    <w:tmpl w:val="6588818C"/>
    <w:name w:val="Appendix List 12"/>
    <w:lvl w:ilvl="0">
      <w:start w:val="1"/>
      <w:numFmt w:val="upperLetter"/>
      <w:pStyle w:val="Appendix1"/>
      <w:lvlText w:val="Appendix %1."/>
      <w:lvlJc w:val="left"/>
      <w:pPr>
        <w:ind w:left="1985" w:hanging="1985"/>
      </w:pPr>
      <w:rPr>
        <w:rFonts w:hint="default"/>
      </w:rPr>
    </w:lvl>
    <w:lvl w:ilvl="1">
      <w:start w:val="1"/>
      <w:numFmt w:val="decimal"/>
      <w:lvlText w:val="%1.%2"/>
      <w:lvlJc w:val="left"/>
      <w:pPr>
        <w:ind w:left="576" w:hanging="576"/>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689376739">
    <w:abstractNumId w:val="8"/>
  </w:num>
  <w:num w:numId="2" w16cid:durableId="263733419">
    <w:abstractNumId w:val="9"/>
  </w:num>
  <w:num w:numId="3" w16cid:durableId="430900666">
    <w:abstractNumId w:val="10"/>
  </w:num>
  <w:num w:numId="4" w16cid:durableId="662005315">
    <w:abstractNumId w:val="6"/>
  </w:num>
  <w:num w:numId="5" w16cid:durableId="1417480163">
    <w:abstractNumId w:val="4"/>
  </w:num>
  <w:num w:numId="6" w16cid:durableId="94444062">
    <w:abstractNumId w:val="1"/>
  </w:num>
  <w:num w:numId="7" w16cid:durableId="367687365">
    <w:abstractNumId w:val="12"/>
  </w:num>
  <w:num w:numId="8" w16cid:durableId="2017340191">
    <w:abstractNumId w:val="11"/>
  </w:num>
  <w:num w:numId="9" w16cid:durableId="1780224608">
    <w:abstractNumId w:val="5"/>
  </w:num>
  <w:num w:numId="10" w16cid:durableId="1875195023">
    <w:abstractNumId w:val="15"/>
  </w:num>
  <w:num w:numId="11" w16cid:durableId="788400506">
    <w:abstractNumId w:val="14"/>
  </w:num>
  <w:num w:numId="12" w16cid:durableId="364792103">
    <w:abstractNumId w:val="7"/>
  </w:num>
  <w:num w:numId="13" w16cid:durableId="1792358589">
    <w:abstractNumId w:val="13"/>
  </w:num>
  <w:num w:numId="14" w16cid:durableId="1284775429">
    <w:abstractNumId w:val="7"/>
  </w:num>
  <w:num w:numId="15" w16cid:durableId="780338687">
    <w:abstractNumId w:val="7"/>
  </w:num>
  <w:num w:numId="16" w16cid:durableId="1574437535">
    <w:abstractNumId w:val="7"/>
  </w:num>
  <w:num w:numId="17" w16cid:durableId="1358000078">
    <w:abstractNumId w:val="7"/>
  </w:num>
  <w:num w:numId="18" w16cid:durableId="1812363705">
    <w:abstractNumId w:val="7"/>
  </w:num>
  <w:num w:numId="19" w16cid:durableId="1300840392">
    <w:abstractNumId w:val="7"/>
  </w:num>
  <w:num w:numId="20" w16cid:durableId="2097506894">
    <w:abstractNumId w:val="7"/>
  </w:num>
  <w:num w:numId="21" w16cid:durableId="631979219">
    <w:abstractNumId w:val="7"/>
  </w:num>
  <w:num w:numId="22" w16cid:durableId="671487331">
    <w:abstractNumId w:val="7"/>
  </w:num>
  <w:num w:numId="23" w16cid:durableId="1134366262">
    <w:abstractNumId w:val="7"/>
  </w:num>
  <w:num w:numId="24" w16cid:durableId="2068409777">
    <w:abstractNumId w:val="7"/>
  </w:num>
  <w:num w:numId="25" w16cid:durableId="510216032">
    <w:abstractNumId w:val="3"/>
  </w:num>
  <w:num w:numId="26" w16cid:durableId="1662855626">
    <w:abstractNumId w:val="0"/>
  </w:num>
  <w:num w:numId="27" w16cid:durableId="1005283534">
    <w:abstractNumId w:val="2"/>
  </w:num>
  <w:num w:numId="28" w16cid:durableId="1916473091">
    <w:abstractNumId w:val="7"/>
  </w:num>
  <w:num w:numId="29" w16cid:durableId="580985223">
    <w:abstractNumId w:val="7"/>
  </w:num>
  <w:num w:numId="30" w16cid:durableId="2049722223">
    <w:abstractNumId w:val="7"/>
  </w:num>
  <w:num w:numId="31" w16cid:durableId="563756424">
    <w:abstractNumId w:val="7"/>
  </w:num>
  <w:num w:numId="32" w16cid:durableId="16085084">
    <w:abstractNumId w:val="7"/>
  </w:num>
  <w:num w:numId="33" w16cid:durableId="28385242">
    <w:abstractNumId w:val="7"/>
  </w:num>
  <w:num w:numId="34" w16cid:durableId="1923559656">
    <w:abstractNumId w:val="7"/>
  </w:num>
  <w:num w:numId="35" w16cid:durableId="674236047">
    <w:abstractNumId w:val="7"/>
  </w:num>
  <w:num w:numId="36" w16cid:durableId="1674525160">
    <w:abstractNumId w:val="7"/>
  </w:num>
  <w:num w:numId="37" w16cid:durableId="710304955">
    <w:abstractNumId w:val="7"/>
  </w:num>
  <w:num w:numId="38" w16cid:durableId="1212226861">
    <w:abstractNumId w:val="7"/>
  </w:num>
  <w:num w:numId="39" w16cid:durableId="1887519630">
    <w:abstractNumId w:val="7"/>
  </w:num>
  <w:num w:numId="40" w16cid:durableId="1206214653">
    <w:abstractNumId w:val="7"/>
  </w:num>
  <w:num w:numId="41" w16cid:durableId="776170956">
    <w:abstractNumId w:val="7"/>
  </w:num>
  <w:num w:numId="42" w16cid:durableId="2052879557">
    <w:abstractNumId w:val="7"/>
  </w:num>
  <w:num w:numId="43" w16cid:durableId="539630790">
    <w:abstractNumId w:val="7"/>
  </w:num>
  <w:num w:numId="44" w16cid:durableId="250701558">
    <w:abstractNumId w:val="7"/>
  </w:num>
  <w:num w:numId="45" w16cid:durableId="120225096">
    <w:abstractNumId w:val="7"/>
  </w:num>
  <w:num w:numId="46" w16cid:durableId="1693871595">
    <w:abstractNumId w:val="7"/>
  </w:num>
  <w:num w:numId="47" w16cid:durableId="1291470423">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0"/>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AF6"/>
    <w:rsid w:val="00000FCB"/>
    <w:rsid w:val="0000158D"/>
    <w:rsid w:val="00001606"/>
    <w:rsid w:val="00002307"/>
    <w:rsid w:val="00003406"/>
    <w:rsid w:val="00004AF6"/>
    <w:rsid w:val="00005EAE"/>
    <w:rsid w:val="00006545"/>
    <w:rsid w:val="00006E5C"/>
    <w:rsid w:val="00007182"/>
    <w:rsid w:val="00007592"/>
    <w:rsid w:val="00010908"/>
    <w:rsid w:val="00013AAF"/>
    <w:rsid w:val="00013D52"/>
    <w:rsid w:val="0001604E"/>
    <w:rsid w:val="0002494F"/>
    <w:rsid w:val="00025A22"/>
    <w:rsid w:val="00025ADA"/>
    <w:rsid w:val="00027FDD"/>
    <w:rsid w:val="00030752"/>
    <w:rsid w:val="00033364"/>
    <w:rsid w:val="00033F7F"/>
    <w:rsid w:val="0003445A"/>
    <w:rsid w:val="00036A0B"/>
    <w:rsid w:val="00037669"/>
    <w:rsid w:val="00040388"/>
    <w:rsid w:val="000407A9"/>
    <w:rsid w:val="0004253C"/>
    <w:rsid w:val="00043258"/>
    <w:rsid w:val="0004370F"/>
    <w:rsid w:val="00043AA2"/>
    <w:rsid w:val="00044929"/>
    <w:rsid w:val="0004493D"/>
    <w:rsid w:val="000463AA"/>
    <w:rsid w:val="00047795"/>
    <w:rsid w:val="00047F86"/>
    <w:rsid w:val="00052127"/>
    <w:rsid w:val="00052F2F"/>
    <w:rsid w:val="0005410C"/>
    <w:rsid w:val="000542FB"/>
    <w:rsid w:val="000547BB"/>
    <w:rsid w:val="00054E57"/>
    <w:rsid w:val="00057565"/>
    <w:rsid w:val="000577F2"/>
    <w:rsid w:val="000601AB"/>
    <w:rsid w:val="0006039F"/>
    <w:rsid w:val="000626DE"/>
    <w:rsid w:val="000630E1"/>
    <w:rsid w:val="00063A9B"/>
    <w:rsid w:val="00067D2E"/>
    <w:rsid w:val="00070BB3"/>
    <w:rsid w:val="0007175E"/>
    <w:rsid w:val="00071879"/>
    <w:rsid w:val="00071A25"/>
    <w:rsid w:val="00071E43"/>
    <w:rsid w:val="000745CB"/>
    <w:rsid w:val="00076DBC"/>
    <w:rsid w:val="00076EF4"/>
    <w:rsid w:val="0007730F"/>
    <w:rsid w:val="0008050E"/>
    <w:rsid w:val="00081C0B"/>
    <w:rsid w:val="00082053"/>
    <w:rsid w:val="00082A86"/>
    <w:rsid w:val="000837A4"/>
    <w:rsid w:val="00084B36"/>
    <w:rsid w:val="000858F7"/>
    <w:rsid w:val="00085CC3"/>
    <w:rsid w:val="000865D0"/>
    <w:rsid w:val="00087113"/>
    <w:rsid w:val="000903AE"/>
    <w:rsid w:val="0009094D"/>
    <w:rsid w:val="00092172"/>
    <w:rsid w:val="00094409"/>
    <w:rsid w:val="0009549C"/>
    <w:rsid w:val="000958CB"/>
    <w:rsid w:val="00096044"/>
    <w:rsid w:val="00096577"/>
    <w:rsid w:val="00096A7D"/>
    <w:rsid w:val="00097062"/>
    <w:rsid w:val="000975B8"/>
    <w:rsid w:val="000A01D3"/>
    <w:rsid w:val="000A081F"/>
    <w:rsid w:val="000A1859"/>
    <w:rsid w:val="000A1EC1"/>
    <w:rsid w:val="000A3071"/>
    <w:rsid w:val="000A31F5"/>
    <w:rsid w:val="000A32C3"/>
    <w:rsid w:val="000A39E0"/>
    <w:rsid w:val="000A4566"/>
    <w:rsid w:val="000A4D3B"/>
    <w:rsid w:val="000A592C"/>
    <w:rsid w:val="000A6734"/>
    <w:rsid w:val="000A684A"/>
    <w:rsid w:val="000A68B4"/>
    <w:rsid w:val="000A6EC6"/>
    <w:rsid w:val="000A73EB"/>
    <w:rsid w:val="000A7E07"/>
    <w:rsid w:val="000B07BE"/>
    <w:rsid w:val="000B18E5"/>
    <w:rsid w:val="000B1B11"/>
    <w:rsid w:val="000B342F"/>
    <w:rsid w:val="000B48FF"/>
    <w:rsid w:val="000B542D"/>
    <w:rsid w:val="000B7A4E"/>
    <w:rsid w:val="000C0DDF"/>
    <w:rsid w:val="000C2A88"/>
    <w:rsid w:val="000C2DC3"/>
    <w:rsid w:val="000C3357"/>
    <w:rsid w:val="000C480F"/>
    <w:rsid w:val="000C5186"/>
    <w:rsid w:val="000C56AF"/>
    <w:rsid w:val="000C5859"/>
    <w:rsid w:val="000C60DF"/>
    <w:rsid w:val="000C6A55"/>
    <w:rsid w:val="000C7926"/>
    <w:rsid w:val="000D033D"/>
    <w:rsid w:val="000D098D"/>
    <w:rsid w:val="000D18C3"/>
    <w:rsid w:val="000D1D49"/>
    <w:rsid w:val="000D2B8D"/>
    <w:rsid w:val="000D2D22"/>
    <w:rsid w:val="000D2FD2"/>
    <w:rsid w:val="000D3CD9"/>
    <w:rsid w:val="000D4155"/>
    <w:rsid w:val="000D4F1E"/>
    <w:rsid w:val="000D6A4A"/>
    <w:rsid w:val="000D6BC6"/>
    <w:rsid w:val="000E0241"/>
    <w:rsid w:val="000E04B2"/>
    <w:rsid w:val="000E058A"/>
    <w:rsid w:val="000E19F4"/>
    <w:rsid w:val="000E3C5A"/>
    <w:rsid w:val="000E3DA0"/>
    <w:rsid w:val="000E3FDC"/>
    <w:rsid w:val="000E6537"/>
    <w:rsid w:val="000E7686"/>
    <w:rsid w:val="000E7843"/>
    <w:rsid w:val="000F0AD7"/>
    <w:rsid w:val="000F15FD"/>
    <w:rsid w:val="000F394E"/>
    <w:rsid w:val="000F3BEC"/>
    <w:rsid w:val="000F44C5"/>
    <w:rsid w:val="000F588A"/>
    <w:rsid w:val="000F7541"/>
    <w:rsid w:val="000F77A6"/>
    <w:rsid w:val="000F7CCB"/>
    <w:rsid w:val="00101207"/>
    <w:rsid w:val="001014E5"/>
    <w:rsid w:val="001040F9"/>
    <w:rsid w:val="00104A88"/>
    <w:rsid w:val="001055A0"/>
    <w:rsid w:val="001056D2"/>
    <w:rsid w:val="00106D35"/>
    <w:rsid w:val="00107200"/>
    <w:rsid w:val="00107D52"/>
    <w:rsid w:val="00111262"/>
    <w:rsid w:val="00111B96"/>
    <w:rsid w:val="00113CEE"/>
    <w:rsid w:val="001164BE"/>
    <w:rsid w:val="00116C94"/>
    <w:rsid w:val="001171BC"/>
    <w:rsid w:val="0011783A"/>
    <w:rsid w:val="00117D76"/>
    <w:rsid w:val="00121A6D"/>
    <w:rsid w:val="00121E19"/>
    <w:rsid w:val="001234CE"/>
    <w:rsid w:val="00124951"/>
    <w:rsid w:val="00125B5F"/>
    <w:rsid w:val="00126660"/>
    <w:rsid w:val="001267F0"/>
    <w:rsid w:val="0013017C"/>
    <w:rsid w:val="00130B05"/>
    <w:rsid w:val="00132A17"/>
    <w:rsid w:val="001338D0"/>
    <w:rsid w:val="00136AE3"/>
    <w:rsid w:val="001406B6"/>
    <w:rsid w:val="0014153F"/>
    <w:rsid w:val="0014190F"/>
    <w:rsid w:val="00142248"/>
    <w:rsid w:val="001426FD"/>
    <w:rsid w:val="0014297B"/>
    <w:rsid w:val="00143022"/>
    <w:rsid w:val="00143397"/>
    <w:rsid w:val="00143C67"/>
    <w:rsid w:val="00144A8D"/>
    <w:rsid w:val="00144AC3"/>
    <w:rsid w:val="00144EEB"/>
    <w:rsid w:val="001456AF"/>
    <w:rsid w:val="00145816"/>
    <w:rsid w:val="00146E69"/>
    <w:rsid w:val="00150529"/>
    <w:rsid w:val="001524B1"/>
    <w:rsid w:val="00152537"/>
    <w:rsid w:val="0015267C"/>
    <w:rsid w:val="00152D1D"/>
    <w:rsid w:val="00155C47"/>
    <w:rsid w:val="00157978"/>
    <w:rsid w:val="00160170"/>
    <w:rsid w:val="0016089A"/>
    <w:rsid w:val="00162BCA"/>
    <w:rsid w:val="00163F7E"/>
    <w:rsid w:val="00165304"/>
    <w:rsid w:val="001660FC"/>
    <w:rsid w:val="00166774"/>
    <w:rsid w:val="00166F13"/>
    <w:rsid w:val="00170348"/>
    <w:rsid w:val="001707B3"/>
    <w:rsid w:val="00171519"/>
    <w:rsid w:val="00172641"/>
    <w:rsid w:val="001727CF"/>
    <w:rsid w:val="001728BC"/>
    <w:rsid w:val="001750B6"/>
    <w:rsid w:val="0017533F"/>
    <w:rsid w:val="00175883"/>
    <w:rsid w:val="001765F2"/>
    <w:rsid w:val="001776A8"/>
    <w:rsid w:val="0018004C"/>
    <w:rsid w:val="00180CB8"/>
    <w:rsid w:val="001816F8"/>
    <w:rsid w:val="00181ECE"/>
    <w:rsid w:val="001834CC"/>
    <w:rsid w:val="00185CA0"/>
    <w:rsid w:val="00185D01"/>
    <w:rsid w:val="00185EE2"/>
    <w:rsid w:val="0018678A"/>
    <w:rsid w:val="00186F06"/>
    <w:rsid w:val="00187DEC"/>
    <w:rsid w:val="00190A9F"/>
    <w:rsid w:val="00190EA6"/>
    <w:rsid w:val="00191349"/>
    <w:rsid w:val="001913E9"/>
    <w:rsid w:val="00191EAD"/>
    <w:rsid w:val="00192B0B"/>
    <w:rsid w:val="001935FE"/>
    <w:rsid w:val="00195551"/>
    <w:rsid w:val="00197434"/>
    <w:rsid w:val="0019745B"/>
    <w:rsid w:val="0019789C"/>
    <w:rsid w:val="00197F8D"/>
    <w:rsid w:val="001A1D5E"/>
    <w:rsid w:val="001A2552"/>
    <w:rsid w:val="001A385F"/>
    <w:rsid w:val="001A4A42"/>
    <w:rsid w:val="001A6BD1"/>
    <w:rsid w:val="001A72FE"/>
    <w:rsid w:val="001A7FBB"/>
    <w:rsid w:val="001B06E1"/>
    <w:rsid w:val="001B0F1B"/>
    <w:rsid w:val="001B1F97"/>
    <w:rsid w:val="001B320A"/>
    <w:rsid w:val="001B4473"/>
    <w:rsid w:val="001B5C6E"/>
    <w:rsid w:val="001B65F1"/>
    <w:rsid w:val="001B7C20"/>
    <w:rsid w:val="001C0469"/>
    <w:rsid w:val="001C08FE"/>
    <w:rsid w:val="001C19E3"/>
    <w:rsid w:val="001C34BF"/>
    <w:rsid w:val="001C39BA"/>
    <w:rsid w:val="001C3BAA"/>
    <w:rsid w:val="001C3DDD"/>
    <w:rsid w:val="001C40D1"/>
    <w:rsid w:val="001C4212"/>
    <w:rsid w:val="001C4653"/>
    <w:rsid w:val="001C4935"/>
    <w:rsid w:val="001C5360"/>
    <w:rsid w:val="001C618A"/>
    <w:rsid w:val="001D205B"/>
    <w:rsid w:val="001E0817"/>
    <w:rsid w:val="001E1914"/>
    <w:rsid w:val="001E1B5B"/>
    <w:rsid w:val="001E22FD"/>
    <w:rsid w:val="001E2582"/>
    <w:rsid w:val="001E3598"/>
    <w:rsid w:val="001E3C8E"/>
    <w:rsid w:val="001E3DC1"/>
    <w:rsid w:val="001E40EE"/>
    <w:rsid w:val="001E41BC"/>
    <w:rsid w:val="001E4539"/>
    <w:rsid w:val="001E5DC5"/>
    <w:rsid w:val="001F1110"/>
    <w:rsid w:val="001F1D30"/>
    <w:rsid w:val="001F2E82"/>
    <w:rsid w:val="001F4913"/>
    <w:rsid w:val="001F4E13"/>
    <w:rsid w:val="001F631A"/>
    <w:rsid w:val="001F7590"/>
    <w:rsid w:val="001F783A"/>
    <w:rsid w:val="00201318"/>
    <w:rsid w:val="00203239"/>
    <w:rsid w:val="00204552"/>
    <w:rsid w:val="00205A46"/>
    <w:rsid w:val="00205A97"/>
    <w:rsid w:val="002068AE"/>
    <w:rsid w:val="00206BE3"/>
    <w:rsid w:val="00206E50"/>
    <w:rsid w:val="00207AD3"/>
    <w:rsid w:val="00207BC0"/>
    <w:rsid w:val="002100B1"/>
    <w:rsid w:val="00212E83"/>
    <w:rsid w:val="00212EA2"/>
    <w:rsid w:val="00213278"/>
    <w:rsid w:val="00215788"/>
    <w:rsid w:val="00217018"/>
    <w:rsid w:val="002173ED"/>
    <w:rsid w:val="00217D4F"/>
    <w:rsid w:val="00217EF1"/>
    <w:rsid w:val="00220723"/>
    <w:rsid w:val="00221346"/>
    <w:rsid w:val="0022168C"/>
    <w:rsid w:val="00221812"/>
    <w:rsid w:val="00221900"/>
    <w:rsid w:val="00222237"/>
    <w:rsid w:val="00222453"/>
    <w:rsid w:val="00224A02"/>
    <w:rsid w:val="00227575"/>
    <w:rsid w:val="002275EB"/>
    <w:rsid w:val="002302D0"/>
    <w:rsid w:val="00231567"/>
    <w:rsid w:val="00232A92"/>
    <w:rsid w:val="00232EDC"/>
    <w:rsid w:val="00232F3A"/>
    <w:rsid w:val="00234593"/>
    <w:rsid w:val="00234A34"/>
    <w:rsid w:val="00234D6C"/>
    <w:rsid w:val="00235BD2"/>
    <w:rsid w:val="002374AC"/>
    <w:rsid w:val="0023788D"/>
    <w:rsid w:val="00237BE1"/>
    <w:rsid w:val="00242212"/>
    <w:rsid w:val="00242247"/>
    <w:rsid w:val="00242B40"/>
    <w:rsid w:val="0024343D"/>
    <w:rsid w:val="00245249"/>
    <w:rsid w:val="002467D5"/>
    <w:rsid w:val="00247380"/>
    <w:rsid w:val="00247CF1"/>
    <w:rsid w:val="002501E9"/>
    <w:rsid w:val="00250546"/>
    <w:rsid w:val="00250FBA"/>
    <w:rsid w:val="00254C9A"/>
    <w:rsid w:val="00254E71"/>
    <w:rsid w:val="00255B43"/>
    <w:rsid w:val="00256831"/>
    <w:rsid w:val="00256B55"/>
    <w:rsid w:val="00257462"/>
    <w:rsid w:val="00257E35"/>
    <w:rsid w:val="00257F57"/>
    <w:rsid w:val="002609E3"/>
    <w:rsid w:val="00262700"/>
    <w:rsid w:val="00262721"/>
    <w:rsid w:val="00262F5B"/>
    <w:rsid w:val="002630E3"/>
    <w:rsid w:val="00263151"/>
    <w:rsid w:val="00263A65"/>
    <w:rsid w:val="002658F6"/>
    <w:rsid w:val="00267B98"/>
    <w:rsid w:val="00267B9A"/>
    <w:rsid w:val="00270B10"/>
    <w:rsid w:val="002712D3"/>
    <w:rsid w:val="002715E6"/>
    <w:rsid w:val="00273426"/>
    <w:rsid w:val="0027386C"/>
    <w:rsid w:val="00273E42"/>
    <w:rsid w:val="002747CB"/>
    <w:rsid w:val="00275C82"/>
    <w:rsid w:val="00275D7A"/>
    <w:rsid w:val="0027711A"/>
    <w:rsid w:val="002771B7"/>
    <w:rsid w:val="00277862"/>
    <w:rsid w:val="00277F24"/>
    <w:rsid w:val="002805E4"/>
    <w:rsid w:val="00281B9C"/>
    <w:rsid w:val="00281DB2"/>
    <w:rsid w:val="0028413A"/>
    <w:rsid w:val="00284463"/>
    <w:rsid w:val="0028498B"/>
    <w:rsid w:val="0028545A"/>
    <w:rsid w:val="00285A79"/>
    <w:rsid w:val="002862D0"/>
    <w:rsid w:val="0029038D"/>
    <w:rsid w:val="00291CC3"/>
    <w:rsid w:val="0029284E"/>
    <w:rsid w:val="00293685"/>
    <w:rsid w:val="002936AF"/>
    <w:rsid w:val="00295CDD"/>
    <w:rsid w:val="00296A92"/>
    <w:rsid w:val="00296C50"/>
    <w:rsid w:val="00297F65"/>
    <w:rsid w:val="002A12C6"/>
    <w:rsid w:val="002A2419"/>
    <w:rsid w:val="002A2BAF"/>
    <w:rsid w:val="002A43FB"/>
    <w:rsid w:val="002A4A0D"/>
    <w:rsid w:val="002A58BD"/>
    <w:rsid w:val="002A5B05"/>
    <w:rsid w:val="002A7008"/>
    <w:rsid w:val="002A76D2"/>
    <w:rsid w:val="002B05B1"/>
    <w:rsid w:val="002B075E"/>
    <w:rsid w:val="002B18B6"/>
    <w:rsid w:val="002B1CFE"/>
    <w:rsid w:val="002B1F18"/>
    <w:rsid w:val="002B41A6"/>
    <w:rsid w:val="002B4888"/>
    <w:rsid w:val="002B4F22"/>
    <w:rsid w:val="002B571D"/>
    <w:rsid w:val="002B5D3D"/>
    <w:rsid w:val="002B60FB"/>
    <w:rsid w:val="002B723D"/>
    <w:rsid w:val="002B731D"/>
    <w:rsid w:val="002C0E29"/>
    <w:rsid w:val="002C44B5"/>
    <w:rsid w:val="002C4E6A"/>
    <w:rsid w:val="002C50C3"/>
    <w:rsid w:val="002C5A78"/>
    <w:rsid w:val="002C5B01"/>
    <w:rsid w:val="002C6429"/>
    <w:rsid w:val="002C64BC"/>
    <w:rsid w:val="002C70AA"/>
    <w:rsid w:val="002D0E13"/>
    <w:rsid w:val="002D2CB5"/>
    <w:rsid w:val="002E0E0E"/>
    <w:rsid w:val="002E1EC2"/>
    <w:rsid w:val="002E2E9B"/>
    <w:rsid w:val="002E357A"/>
    <w:rsid w:val="002E366C"/>
    <w:rsid w:val="002E4349"/>
    <w:rsid w:val="002E4845"/>
    <w:rsid w:val="002E4D1F"/>
    <w:rsid w:val="002E5736"/>
    <w:rsid w:val="002F0AD3"/>
    <w:rsid w:val="002F143B"/>
    <w:rsid w:val="002F1743"/>
    <w:rsid w:val="002F1EDB"/>
    <w:rsid w:val="002F21EE"/>
    <w:rsid w:val="002F2818"/>
    <w:rsid w:val="002F2DFA"/>
    <w:rsid w:val="002F3236"/>
    <w:rsid w:val="002F3DB7"/>
    <w:rsid w:val="002F43FE"/>
    <w:rsid w:val="002F4B2A"/>
    <w:rsid w:val="002F561E"/>
    <w:rsid w:val="002F69F7"/>
    <w:rsid w:val="002F75F7"/>
    <w:rsid w:val="003009FF"/>
    <w:rsid w:val="00301EF8"/>
    <w:rsid w:val="0030330C"/>
    <w:rsid w:val="003044CC"/>
    <w:rsid w:val="00305778"/>
    <w:rsid w:val="003066CA"/>
    <w:rsid w:val="00307CC3"/>
    <w:rsid w:val="00310720"/>
    <w:rsid w:val="0031136F"/>
    <w:rsid w:val="00312B9C"/>
    <w:rsid w:val="00312E8B"/>
    <w:rsid w:val="00312F5E"/>
    <w:rsid w:val="00314A3C"/>
    <w:rsid w:val="00314DF6"/>
    <w:rsid w:val="003150A0"/>
    <w:rsid w:val="003155D1"/>
    <w:rsid w:val="00315ACB"/>
    <w:rsid w:val="00316B0B"/>
    <w:rsid w:val="00316D2A"/>
    <w:rsid w:val="0031740C"/>
    <w:rsid w:val="003205C7"/>
    <w:rsid w:val="00320BFB"/>
    <w:rsid w:val="00322104"/>
    <w:rsid w:val="00324865"/>
    <w:rsid w:val="00324C2E"/>
    <w:rsid w:val="0032547E"/>
    <w:rsid w:val="00325646"/>
    <w:rsid w:val="00326B7F"/>
    <w:rsid w:val="00326BCB"/>
    <w:rsid w:val="00327E15"/>
    <w:rsid w:val="00331123"/>
    <w:rsid w:val="00333070"/>
    <w:rsid w:val="00333982"/>
    <w:rsid w:val="003345E3"/>
    <w:rsid w:val="003350A3"/>
    <w:rsid w:val="003361F7"/>
    <w:rsid w:val="00337195"/>
    <w:rsid w:val="003400DA"/>
    <w:rsid w:val="003403E4"/>
    <w:rsid w:val="00340FC6"/>
    <w:rsid w:val="003419C2"/>
    <w:rsid w:val="00341ABE"/>
    <w:rsid w:val="00343745"/>
    <w:rsid w:val="00346363"/>
    <w:rsid w:val="00347D7D"/>
    <w:rsid w:val="00351949"/>
    <w:rsid w:val="00353A7E"/>
    <w:rsid w:val="00354F30"/>
    <w:rsid w:val="00356CFE"/>
    <w:rsid w:val="00356DBE"/>
    <w:rsid w:val="00357B0A"/>
    <w:rsid w:val="003603C7"/>
    <w:rsid w:val="003606E0"/>
    <w:rsid w:val="003619A6"/>
    <w:rsid w:val="00362493"/>
    <w:rsid w:val="003633A8"/>
    <w:rsid w:val="003641D9"/>
    <w:rsid w:val="00364BB6"/>
    <w:rsid w:val="00365313"/>
    <w:rsid w:val="003665AE"/>
    <w:rsid w:val="00366D70"/>
    <w:rsid w:val="003673C3"/>
    <w:rsid w:val="00367B88"/>
    <w:rsid w:val="0037070C"/>
    <w:rsid w:val="00370BF0"/>
    <w:rsid w:val="00370CD1"/>
    <w:rsid w:val="003714CA"/>
    <w:rsid w:val="003717D2"/>
    <w:rsid w:val="00371D77"/>
    <w:rsid w:val="003734F3"/>
    <w:rsid w:val="00373DCF"/>
    <w:rsid w:val="00373E4A"/>
    <w:rsid w:val="00375395"/>
    <w:rsid w:val="00375499"/>
    <w:rsid w:val="00375684"/>
    <w:rsid w:val="003772DE"/>
    <w:rsid w:val="00380371"/>
    <w:rsid w:val="00380CB1"/>
    <w:rsid w:val="00381AFD"/>
    <w:rsid w:val="00383CFC"/>
    <w:rsid w:val="00384D86"/>
    <w:rsid w:val="00385C92"/>
    <w:rsid w:val="003872B1"/>
    <w:rsid w:val="00394AD8"/>
    <w:rsid w:val="00396243"/>
    <w:rsid w:val="00396E4D"/>
    <w:rsid w:val="003972BA"/>
    <w:rsid w:val="003978D3"/>
    <w:rsid w:val="003A10B9"/>
    <w:rsid w:val="003A19D4"/>
    <w:rsid w:val="003A1BCF"/>
    <w:rsid w:val="003A1C70"/>
    <w:rsid w:val="003A1EEC"/>
    <w:rsid w:val="003A1FF4"/>
    <w:rsid w:val="003A4815"/>
    <w:rsid w:val="003A49CE"/>
    <w:rsid w:val="003A4EBD"/>
    <w:rsid w:val="003A562C"/>
    <w:rsid w:val="003A62C7"/>
    <w:rsid w:val="003A67D6"/>
    <w:rsid w:val="003B222D"/>
    <w:rsid w:val="003B250D"/>
    <w:rsid w:val="003B29BA"/>
    <w:rsid w:val="003B2BF7"/>
    <w:rsid w:val="003B40B4"/>
    <w:rsid w:val="003B5EED"/>
    <w:rsid w:val="003B606B"/>
    <w:rsid w:val="003B61AD"/>
    <w:rsid w:val="003B6732"/>
    <w:rsid w:val="003B786F"/>
    <w:rsid w:val="003C06D8"/>
    <w:rsid w:val="003C0FB3"/>
    <w:rsid w:val="003C11B5"/>
    <w:rsid w:val="003C2102"/>
    <w:rsid w:val="003C29CB"/>
    <w:rsid w:val="003C2C7D"/>
    <w:rsid w:val="003C368A"/>
    <w:rsid w:val="003C3DCD"/>
    <w:rsid w:val="003C439F"/>
    <w:rsid w:val="003C48FB"/>
    <w:rsid w:val="003C4ABC"/>
    <w:rsid w:val="003C4CC2"/>
    <w:rsid w:val="003C5178"/>
    <w:rsid w:val="003C579D"/>
    <w:rsid w:val="003C5C3C"/>
    <w:rsid w:val="003C68D9"/>
    <w:rsid w:val="003C6C6E"/>
    <w:rsid w:val="003C7503"/>
    <w:rsid w:val="003C7C4F"/>
    <w:rsid w:val="003D0C4C"/>
    <w:rsid w:val="003D1314"/>
    <w:rsid w:val="003D3B1B"/>
    <w:rsid w:val="003D4FFB"/>
    <w:rsid w:val="003D519E"/>
    <w:rsid w:val="003D6263"/>
    <w:rsid w:val="003D6832"/>
    <w:rsid w:val="003D730A"/>
    <w:rsid w:val="003D7825"/>
    <w:rsid w:val="003D7F69"/>
    <w:rsid w:val="003E03D1"/>
    <w:rsid w:val="003E058A"/>
    <w:rsid w:val="003E122A"/>
    <w:rsid w:val="003E200F"/>
    <w:rsid w:val="003E283B"/>
    <w:rsid w:val="003E393B"/>
    <w:rsid w:val="003E431B"/>
    <w:rsid w:val="003E4D07"/>
    <w:rsid w:val="003E5872"/>
    <w:rsid w:val="003E7552"/>
    <w:rsid w:val="003E75EE"/>
    <w:rsid w:val="003F07D3"/>
    <w:rsid w:val="003F0F55"/>
    <w:rsid w:val="003F10C5"/>
    <w:rsid w:val="003F1EC0"/>
    <w:rsid w:val="003F2146"/>
    <w:rsid w:val="003F39D0"/>
    <w:rsid w:val="003F3AF8"/>
    <w:rsid w:val="003F3F46"/>
    <w:rsid w:val="003F4568"/>
    <w:rsid w:val="003F4C51"/>
    <w:rsid w:val="003F5BF2"/>
    <w:rsid w:val="003F6F06"/>
    <w:rsid w:val="00400243"/>
    <w:rsid w:val="00400F35"/>
    <w:rsid w:val="004017E6"/>
    <w:rsid w:val="00401B90"/>
    <w:rsid w:val="004029BC"/>
    <w:rsid w:val="00404311"/>
    <w:rsid w:val="0040495F"/>
    <w:rsid w:val="004059BC"/>
    <w:rsid w:val="00405C26"/>
    <w:rsid w:val="00406194"/>
    <w:rsid w:val="00407860"/>
    <w:rsid w:val="0041056B"/>
    <w:rsid w:val="0041136F"/>
    <w:rsid w:val="00411EF1"/>
    <w:rsid w:val="00413319"/>
    <w:rsid w:val="0041353E"/>
    <w:rsid w:val="00414A14"/>
    <w:rsid w:val="00414B36"/>
    <w:rsid w:val="00417828"/>
    <w:rsid w:val="00417DE7"/>
    <w:rsid w:val="00420CBA"/>
    <w:rsid w:val="00421075"/>
    <w:rsid w:val="00422DCA"/>
    <w:rsid w:val="00424BC6"/>
    <w:rsid w:val="00425EAF"/>
    <w:rsid w:val="00427A01"/>
    <w:rsid w:val="00430F16"/>
    <w:rsid w:val="00431906"/>
    <w:rsid w:val="004320C4"/>
    <w:rsid w:val="00433AFB"/>
    <w:rsid w:val="00433C46"/>
    <w:rsid w:val="00434C57"/>
    <w:rsid w:val="00434FB9"/>
    <w:rsid w:val="00435280"/>
    <w:rsid w:val="004364D5"/>
    <w:rsid w:val="0043698A"/>
    <w:rsid w:val="004371A3"/>
    <w:rsid w:val="004401A8"/>
    <w:rsid w:val="00440C3F"/>
    <w:rsid w:val="00440F2D"/>
    <w:rsid w:val="00441229"/>
    <w:rsid w:val="0044333C"/>
    <w:rsid w:val="004433F6"/>
    <w:rsid w:val="00443A6D"/>
    <w:rsid w:val="00444F34"/>
    <w:rsid w:val="004450AC"/>
    <w:rsid w:val="00445565"/>
    <w:rsid w:val="00445DC7"/>
    <w:rsid w:val="004477A1"/>
    <w:rsid w:val="00450131"/>
    <w:rsid w:val="004501A7"/>
    <w:rsid w:val="0045057B"/>
    <w:rsid w:val="00451D16"/>
    <w:rsid w:val="00453C85"/>
    <w:rsid w:val="00453DFB"/>
    <w:rsid w:val="004547E4"/>
    <w:rsid w:val="00454D58"/>
    <w:rsid w:val="00456764"/>
    <w:rsid w:val="00456B90"/>
    <w:rsid w:val="00461474"/>
    <w:rsid w:val="004617C1"/>
    <w:rsid w:val="004636C8"/>
    <w:rsid w:val="0046497F"/>
    <w:rsid w:val="004654C5"/>
    <w:rsid w:val="00465F72"/>
    <w:rsid w:val="00467F58"/>
    <w:rsid w:val="00470995"/>
    <w:rsid w:val="004711BE"/>
    <w:rsid w:val="004736C9"/>
    <w:rsid w:val="004738BA"/>
    <w:rsid w:val="00473B14"/>
    <w:rsid w:val="00474196"/>
    <w:rsid w:val="00475E70"/>
    <w:rsid w:val="004760BD"/>
    <w:rsid w:val="00477937"/>
    <w:rsid w:val="00481794"/>
    <w:rsid w:val="00482F64"/>
    <w:rsid w:val="004850CF"/>
    <w:rsid w:val="00490250"/>
    <w:rsid w:val="0049233F"/>
    <w:rsid w:val="0049320B"/>
    <w:rsid w:val="00494788"/>
    <w:rsid w:val="0049514A"/>
    <w:rsid w:val="00495A01"/>
    <w:rsid w:val="00496A62"/>
    <w:rsid w:val="0049735F"/>
    <w:rsid w:val="00497B54"/>
    <w:rsid w:val="00497D73"/>
    <w:rsid w:val="004A2AB4"/>
    <w:rsid w:val="004A4AF3"/>
    <w:rsid w:val="004A61DD"/>
    <w:rsid w:val="004A7D66"/>
    <w:rsid w:val="004B02D7"/>
    <w:rsid w:val="004B0416"/>
    <w:rsid w:val="004B059B"/>
    <w:rsid w:val="004B05C2"/>
    <w:rsid w:val="004B0913"/>
    <w:rsid w:val="004B1749"/>
    <w:rsid w:val="004B1F94"/>
    <w:rsid w:val="004B2AF4"/>
    <w:rsid w:val="004B5358"/>
    <w:rsid w:val="004B54C2"/>
    <w:rsid w:val="004B5985"/>
    <w:rsid w:val="004B5B46"/>
    <w:rsid w:val="004B66CC"/>
    <w:rsid w:val="004B66D2"/>
    <w:rsid w:val="004C0FD1"/>
    <w:rsid w:val="004C217E"/>
    <w:rsid w:val="004C38DA"/>
    <w:rsid w:val="004C6D71"/>
    <w:rsid w:val="004D0008"/>
    <w:rsid w:val="004D2114"/>
    <w:rsid w:val="004D39A7"/>
    <w:rsid w:val="004D4923"/>
    <w:rsid w:val="004D4A93"/>
    <w:rsid w:val="004D64E3"/>
    <w:rsid w:val="004D7546"/>
    <w:rsid w:val="004D792C"/>
    <w:rsid w:val="004E04F7"/>
    <w:rsid w:val="004E3032"/>
    <w:rsid w:val="004E3585"/>
    <w:rsid w:val="004E404A"/>
    <w:rsid w:val="004E4D1B"/>
    <w:rsid w:val="004E65BE"/>
    <w:rsid w:val="004E6B3D"/>
    <w:rsid w:val="004E7962"/>
    <w:rsid w:val="004F22E9"/>
    <w:rsid w:val="004F23CF"/>
    <w:rsid w:val="004F4322"/>
    <w:rsid w:val="004F4BF5"/>
    <w:rsid w:val="004F5FCA"/>
    <w:rsid w:val="004F6BBB"/>
    <w:rsid w:val="004FEF47"/>
    <w:rsid w:val="00500087"/>
    <w:rsid w:val="00501039"/>
    <w:rsid w:val="0050138B"/>
    <w:rsid w:val="00501A25"/>
    <w:rsid w:val="00501A3A"/>
    <w:rsid w:val="005029B7"/>
    <w:rsid w:val="00503F66"/>
    <w:rsid w:val="0050430E"/>
    <w:rsid w:val="00504777"/>
    <w:rsid w:val="005053AA"/>
    <w:rsid w:val="00507EF2"/>
    <w:rsid w:val="00510517"/>
    <w:rsid w:val="00510A92"/>
    <w:rsid w:val="00512EF9"/>
    <w:rsid w:val="00513E77"/>
    <w:rsid w:val="00514F03"/>
    <w:rsid w:val="00520214"/>
    <w:rsid w:val="0052096F"/>
    <w:rsid w:val="00521493"/>
    <w:rsid w:val="00521498"/>
    <w:rsid w:val="005214FB"/>
    <w:rsid w:val="0052379B"/>
    <w:rsid w:val="00523858"/>
    <w:rsid w:val="00525530"/>
    <w:rsid w:val="00525A29"/>
    <w:rsid w:val="00526356"/>
    <w:rsid w:val="00530CED"/>
    <w:rsid w:val="00531FAA"/>
    <w:rsid w:val="0053207F"/>
    <w:rsid w:val="005328FF"/>
    <w:rsid w:val="00534498"/>
    <w:rsid w:val="00535271"/>
    <w:rsid w:val="005356C4"/>
    <w:rsid w:val="00535F1C"/>
    <w:rsid w:val="0053613A"/>
    <w:rsid w:val="0053631A"/>
    <w:rsid w:val="00537926"/>
    <w:rsid w:val="00537E3E"/>
    <w:rsid w:val="00540DE8"/>
    <w:rsid w:val="00541B72"/>
    <w:rsid w:val="00541D41"/>
    <w:rsid w:val="00542F43"/>
    <w:rsid w:val="00544297"/>
    <w:rsid w:val="005465DE"/>
    <w:rsid w:val="00546A71"/>
    <w:rsid w:val="005472B5"/>
    <w:rsid w:val="00551710"/>
    <w:rsid w:val="00551D5C"/>
    <w:rsid w:val="00552698"/>
    <w:rsid w:val="005536EF"/>
    <w:rsid w:val="00553A3F"/>
    <w:rsid w:val="0055587B"/>
    <w:rsid w:val="00557365"/>
    <w:rsid w:val="00557C7C"/>
    <w:rsid w:val="005601E1"/>
    <w:rsid w:val="0056166F"/>
    <w:rsid w:val="00563976"/>
    <w:rsid w:val="00563D61"/>
    <w:rsid w:val="00563FB1"/>
    <w:rsid w:val="0056456F"/>
    <w:rsid w:val="00565BDA"/>
    <w:rsid w:val="00566155"/>
    <w:rsid w:val="0056648E"/>
    <w:rsid w:val="00567719"/>
    <w:rsid w:val="00567898"/>
    <w:rsid w:val="0057060F"/>
    <w:rsid w:val="0057061F"/>
    <w:rsid w:val="005706FF"/>
    <w:rsid w:val="00573069"/>
    <w:rsid w:val="00573479"/>
    <w:rsid w:val="00573773"/>
    <w:rsid w:val="005737CE"/>
    <w:rsid w:val="005747F1"/>
    <w:rsid w:val="005754BD"/>
    <w:rsid w:val="00575725"/>
    <w:rsid w:val="00575816"/>
    <w:rsid w:val="00575A1A"/>
    <w:rsid w:val="00575F51"/>
    <w:rsid w:val="00576798"/>
    <w:rsid w:val="00577102"/>
    <w:rsid w:val="00580B9B"/>
    <w:rsid w:val="00580CF5"/>
    <w:rsid w:val="00582473"/>
    <w:rsid w:val="00582CF5"/>
    <w:rsid w:val="00582D19"/>
    <w:rsid w:val="005834CE"/>
    <w:rsid w:val="00584013"/>
    <w:rsid w:val="005844E7"/>
    <w:rsid w:val="00584D28"/>
    <w:rsid w:val="00586543"/>
    <w:rsid w:val="0058657C"/>
    <w:rsid w:val="00586610"/>
    <w:rsid w:val="00587146"/>
    <w:rsid w:val="0058770B"/>
    <w:rsid w:val="00587E6F"/>
    <w:rsid w:val="00587F64"/>
    <w:rsid w:val="00592F13"/>
    <w:rsid w:val="005935E8"/>
    <w:rsid w:val="00595442"/>
    <w:rsid w:val="00595D9C"/>
    <w:rsid w:val="005965E9"/>
    <w:rsid w:val="0059726F"/>
    <w:rsid w:val="005A02D1"/>
    <w:rsid w:val="005A0FC9"/>
    <w:rsid w:val="005A29DD"/>
    <w:rsid w:val="005A3813"/>
    <w:rsid w:val="005A5248"/>
    <w:rsid w:val="005A5BA5"/>
    <w:rsid w:val="005A6C80"/>
    <w:rsid w:val="005A71B7"/>
    <w:rsid w:val="005B164A"/>
    <w:rsid w:val="005B1F29"/>
    <w:rsid w:val="005B3A89"/>
    <w:rsid w:val="005B3E5A"/>
    <w:rsid w:val="005B4DD8"/>
    <w:rsid w:val="005C04FC"/>
    <w:rsid w:val="005C11D3"/>
    <w:rsid w:val="005C2CFA"/>
    <w:rsid w:val="005C3DD7"/>
    <w:rsid w:val="005C58A4"/>
    <w:rsid w:val="005C6332"/>
    <w:rsid w:val="005D16AD"/>
    <w:rsid w:val="005D1D51"/>
    <w:rsid w:val="005D4F9A"/>
    <w:rsid w:val="005D5629"/>
    <w:rsid w:val="005D5F76"/>
    <w:rsid w:val="005D679E"/>
    <w:rsid w:val="005D6DD2"/>
    <w:rsid w:val="005D7223"/>
    <w:rsid w:val="005E1599"/>
    <w:rsid w:val="005E2AC5"/>
    <w:rsid w:val="005E5150"/>
    <w:rsid w:val="005E6FB8"/>
    <w:rsid w:val="005F0283"/>
    <w:rsid w:val="005F0323"/>
    <w:rsid w:val="005F08B1"/>
    <w:rsid w:val="005F0E72"/>
    <w:rsid w:val="005F1571"/>
    <w:rsid w:val="005F16BC"/>
    <w:rsid w:val="005F1CD9"/>
    <w:rsid w:val="005F21DA"/>
    <w:rsid w:val="005F2D9B"/>
    <w:rsid w:val="005F3305"/>
    <w:rsid w:val="005F5831"/>
    <w:rsid w:val="005F60F1"/>
    <w:rsid w:val="005F6961"/>
    <w:rsid w:val="005F7049"/>
    <w:rsid w:val="005F75AF"/>
    <w:rsid w:val="005F75D9"/>
    <w:rsid w:val="00600500"/>
    <w:rsid w:val="0060071E"/>
    <w:rsid w:val="0060130C"/>
    <w:rsid w:val="0060165B"/>
    <w:rsid w:val="00601779"/>
    <w:rsid w:val="006018C5"/>
    <w:rsid w:val="00601A70"/>
    <w:rsid w:val="00602CE7"/>
    <w:rsid w:val="00602D94"/>
    <w:rsid w:val="006045C4"/>
    <w:rsid w:val="0060630B"/>
    <w:rsid w:val="006064A1"/>
    <w:rsid w:val="006064F5"/>
    <w:rsid w:val="0060675B"/>
    <w:rsid w:val="00607072"/>
    <w:rsid w:val="006101EF"/>
    <w:rsid w:val="00610406"/>
    <w:rsid w:val="00611277"/>
    <w:rsid w:val="0061153D"/>
    <w:rsid w:val="00611790"/>
    <w:rsid w:val="0061197A"/>
    <w:rsid w:val="00612031"/>
    <w:rsid w:val="00612519"/>
    <w:rsid w:val="006135A4"/>
    <w:rsid w:val="00613FD0"/>
    <w:rsid w:val="00614601"/>
    <w:rsid w:val="00614735"/>
    <w:rsid w:val="00614A8C"/>
    <w:rsid w:val="00614C0D"/>
    <w:rsid w:val="00614CC9"/>
    <w:rsid w:val="00615BB2"/>
    <w:rsid w:val="00617D8C"/>
    <w:rsid w:val="00620337"/>
    <w:rsid w:val="00621D4F"/>
    <w:rsid w:val="006229EA"/>
    <w:rsid w:val="00623F34"/>
    <w:rsid w:val="00624413"/>
    <w:rsid w:val="0062497B"/>
    <w:rsid w:val="006255ED"/>
    <w:rsid w:val="00625C02"/>
    <w:rsid w:val="00625C1B"/>
    <w:rsid w:val="00626C8F"/>
    <w:rsid w:val="006270D5"/>
    <w:rsid w:val="00630481"/>
    <w:rsid w:val="006309F0"/>
    <w:rsid w:val="006328E6"/>
    <w:rsid w:val="00632956"/>
    <w:rsid w:val="00633E56"/>
    <w:rsid w:val="00634640"/>
    <w:rsid w:val="00634FA7"/>
    <w:rsid w:val="0063731E"/>
    <w:rsid w:val="00637790"/>
    <w:rsid w:val="00640FEF"/>
    <w:rsid w:val="0064131F"/>
    <w:rsid w:val="00641898"/>
    <w:rsid w:val="00642017"/>
    <w:rsid w:val="00642573"/>
    <w:rsid w:val="00643D67"/>
    <w:rsid w:val="00644498"/>
    <w:rsid w:val="006448B2"/>
    <w:rsid w:val="00645F3E"/>
    <w:rsid w:val="006466CA"/>
    <w:rsid w:val="00647E93"/>
    <w:rsid w:val="00650D3D"/>
    <w:rsid w:val="006539F2"/>
    <w:rsid w:val="0065449B"/>
    <w:rsid w:val="00655030"/>
    <w:rsid w:val="00660183"/>
    <w:rsid w:val="006608A0"/>
    <w:rsid w:val="00660BC3"/>
    <w:rsid w:val="006611C3"/>
    <w:rsid w:val="00662B97"/>
    <w:rsid w:val="0066307D"/>
    <w:rsid w:val="006630CF"/>
    <w:rsid w:val="006632E9"/>
    <w:rsid w:val="0066477E"/>
    <w:rsid w:val="006709CB"/>
    <w:rsid w:val="00671ED7"/>
    <w:rsid w:val="0067216B"/>
    <w:rsid w:val="00672DD3"/>
    <w:rsid w:val="00673747"/>
    <w:rsid w:val="00673A5C"/>
    <w:rsid w:val="00675565"/>
    <w:rsid w:val="0067728A"/>
    <w:rsid w:val="006772A9"/>
    <w:rsid w:val="00680C21"/>
    <w:rsid w:val="00681A9F"/>
    <w:rsid w:val="00682075"/>
    <w:rsid w:val="006820C6"/>
    <w:rsid w:val="00682A20"/>
    <w:rsid w:val="00684436"/>
    <w:rsid w:val="00684745"/>
    <w:rsid w:val="0068482B"/>
    <w:rsid w:val="00684D57"/>
    <w:rsid w:val="00686070"/>
    <w:rsid w:val="0068784C"/>
    <w:rsid w:val="00690B35"/>
    <w:rsid w:val="00695E65"/>
    <w:rsid w:val="00697B8A"/>
    <w:rsid w:val="006A0CC2"/>
    <w:rsid w:val="006A0E2C"/>
    <w:rsid w:val="006A16DA"/>
    <w:rsid w:val="006A395F"/>
    <w:rsid w:val="006A3B02"/>
    <w:rsid w:val="006A419E"/>
    <w:rsid w:val="006A5631"/>
    <w:rsid w:val="006A7EB1"/>
    <w:rsid w:val="006B010B"/>
    <w:rsid w:val="006B0333"/>
    <w:rsid w:val="006B0465"/>
    <w:rsid w:val="006B0E00"/>
    <w:rsid w:val="006B14EC"/>
    <w:rsid w:val="006B29E9"/>
    <w:rsid w:val="006B3E87"/>
    <w:rsid w:val="006B4CD7"/>
    <w:rsid w:val="006B5216"/>
    <w:rsid w:val="006B60AB"/>
    <w:rsid w:val="006C069E"/>
    <w:rsid w:val="006C106C"/>
    <w:rsid w:val="006C1965"/>
    <w:rsid w:val="006C2001"/>
    <w:rsid w:val="006C26AD"/>
    <w:rsid w:val="006C3F08"/>
    <w:rsid w:val="006C4A7B"/>
    <w:rsid w:val="006C4B06"/>
    <w:rsid w:val="006C6DDA"/>
    <w:rsid w:val="006D05F9"/>
    <w:rsid w:val="006D0E42"/>
    <w:rsid w:val="006D144E"/>
    <w:rsid w:val="006D2CA5"/>
    <w:rsid w:val="006D3851"/>
    <w:rsid w:val="006D3B2D"/>
    <w:rsid w:val="006D4568"/>
    <w:rsid w:val="006D5597"/>
    <w:rsid w:val="006D61A4"/>
    <w:rsid w:val="006D64D8"/>
    <w:rsid w:val="006D6E47"/>
    <w:rsid w:val="006D714C"/>
    <w:rsid w:val="006D7961"/>
    <w:rsid w:val="006E0051"/>
    <w:rsid w:val="006E2338"/>
    <w:rsid w:val="006E2BAE"/>
    <w:rsid w:val="006E3C25"/>
    <w:rsid w:val="006E3FBA"/>
    <w:rsid w:val="006E444F"/>
    <w:rsid w:val="006E562A"/>
    <w:rsid w:val="006E6615"/>
    <w:rsid w:val="006E74B7"/>
    <w:rsid w:val="006F0670"/>
    <w:rsid w:val="006F291D"/>
    <w:rsid w:val="006F3A7A"/>
    <w:rsid w:val="006F69E1"/>
    <w:rsid w:val="006F6A84"/>
    <w:rsid w:val="00702280"/>
    <w:rsid w:val="00702466"/>
    <w:rsid w:val="00702DEE"/>
    <w:rsid w:val="00703E28"/>
    <w:rsid w:val="007055B7"/>
    <w:rsid w:val="00705931"/>
    <w:rsid w:val="007077F4"/>
    <w:rsid w:val="00710AC5"/>
    <w:rsid w:val="007117B6"/>
    <w:rsid w:val="007125BF"/>
    <w:rsid w:val="00712B83"/>
    <w:rsid w:val="00713559"/>
    <w:rsid w:val="0071403A"/>
    <w:rsid w:val="00716D66"/>
    <w:rsid w:val="00717AB1"/>
    <w:rsid w:val="0072108F"/>
    <w:rsid w:val="00721480"/>
    <w:rsid w:val="007216B9"/>
    <w:rsid w:val="00722B0B"/>
    <w:rsid w:val="00724ABE"/>
    <w:rsid w:val="00725BCB"/>
    <w:rsid w:val="007319E4"/>
    <w:rsid w:val="00731E0C"/>
    <w:rsid w:val="00731EAE"/>
    <w:rsid w:val="0073386E"/>
    <w:rsid w:val="0073638A"/>
    <w:rsid w:val="00736F3F"/>
    <w:rsid w:val="007401ED"/>
    <w:rsid w:val="00743046"/>
    <w:rsid w:val="0074336D"/>
    <w:rsid w:val="0074353A"/>
    <w:rsid w:val="00743AB4"/>
    <w:rsid w:val="007442AB"/>
    <w:rsid w:val="007453D4"/>
    <w:rsid w:val="00745789"/>
    <w:rsid w:val="00745FD6"/>
    <w:rsid w:val="00747E16"/>
    <w:rsid w:val="00747F93"/>
    <w:rsid w:val="00750D7E"/>
    <w:rsid w:val="00751071"/>
    <w:rsid w:val="00751BF1"/>
    <w:rsid w:val="00752170"/>
    <w:rsid w:val="00752280"/>
    <w:rsid w:val="00752949"/>
    <w:rsid w:val="00754275"/>
    <w:rsid w:val="00754C4C"/>
    <w:rsid w:val="00754D91"/>
    <w:rsid w:val="00755A5D"/>
    <w:rsid w:val="00756242"/>
    <w:rsid w:val="0076067D"/>
    <w:rsid w:val="00760904"/>
    <w:rsid w:val="0076136F"/>
    <w:rsid w:val="00761C25"/>
    <w:rsid w:val="00761ECA"/>
    <w:rsid w:val="007620B3"/>
    <w:rsid w:val="00762A11"/>
    <w:rsid w:val="007638A0"/>
    <w:rsid w:val="00764836"/>
    <w:rsid w:val="00765053"/>
    <w:rsid w:val="0076506E"/>
    <w:rsid w:val="007652FF"/>
    <w:rsid w:val="0076562D"/>
    <w:rsid w:val="00765FD3"/>
    <w:rsid w:val="007674D9"/>
    <w:rsid w:val="007676DB"/>
    <w:rsid w:val="0077097B"/>
    <w:rsid w:val="00770F9E"/>
    <w:rsid w:val="00771180"/>
    <w:rsid w:val="00773451"/>
    <w:rsid w:val="00774032"/>
    <w:rsid w:val="00775810"/>
    <w:rsid w:val="00775B0C"/>
    <w:rsid w:val="00775F61"/>
    <w:rsid w:val="007765DF"/>
    <w:rsid w:val="00776AC2"/>
    <w:rsid w:val="00776E31"/>
    <w:rsid w:val="00777401"/>
    <w:rsid w:val="007779AD"/>
    <w:rsid w:val="00777B35"/>
    <w:rsid w:val="00780342"/>
    <w:rsid w:val="00781C47"/>
    <w:rsid w:val="00781CA6"/>
    <w:rsid w:val="0078275D"/>
    <w:rsid w:val="00784939"/>
    <w:rsid w:val="00784C0B"/>
    <w:rsid w:val="00786259"/>
    <w:rsid w:val="007909B3"/>
    <w:rsid w:val="00790C6B"/>
    <w:rsid w:val="00790CE6"/>
    <w:rsid w:val="0079296E"/>
    <w:rsid w:val="00794F97"/>
    <w:rsid w:val="00795E3D"/>
    <w:rsid w:val="007A1053"/>
    <w:rsid w:val="007A1406"/>
    <w:rsid w:val="007A19F5"/>
    <w:rsid w:val="007A243C"/>
    <w:rsid w:val="007A2F34"/>
    <w:rsid w:val="007A30A3"/>
    <w:rsid w:val="007A322B"/>
    <w:rsid w:val="007A539B"/>
    <w:rsid w:val="007A7D07"/>
    <w:rsid w:val="007B05C2"/>
    <w:rsid w:val="007B085C"/>
    <w:rsid w:val="007B0D86"/>
    <w:rsid w:val="007B1AAA"/>
    <w:rsid w:val="007B1FCF"/>
    <w:rsid w:val="007B25AC"/>
    <w:rsid w:val="007B3287"/>
    <w:rsid w:val="007B3748"/>
    <w:rsid w:val="007B4C5B"/>
    <w:rsid w:val="007B7636"/>
    <w:rsid w:val="007C1D96"/>
    <w:rsid w:val="007C1E4F"/>
    <w:rsid w:val="007C264B"/>
    <w:rsid w:val="007C2D6A"/>
    <w:rsid w:val="007C3439"/>
    <w:rsid w:val="007C395F"/>
    <w:rsid w:val="007C4810"/>
    <w:rsid w:val="007C5E52"/>
    <w:rsid w:val="007C67C3"/>
    <w:rsid w:val="007D16A4"/>
    <w:rsid w:val="007D29E8"/>
    <w:rsid w:val="007D38C0"/>
    <w:rsid w:val="007D7FB3"/>
    <w:rsid w:val="007E00D1"/>
    <w:rsid w:val="007E18EC"/>
    <w:rsid w:val="007E2452"/>
    <w:rsid w:val="007E4977"/>
    <w:rsid w:val="007E4CB9"/>
    <w:rsid w:val="007E52F1"/>
    <w:rsid w:val="007E56F7"/>
    <w:rsid w:val="007E5C22"/>
    <w:rsid w:val="007E6CA1"/>
    <w:rsid w:val="007E7BF7"/>
    <w:rsid w:val="007F4B9C"/>
    <w:rsid w:val="007F4C0C"/>
    <w:rsid w:val="007F71E7"/>
    <w:rsid w:val="008012E3"/>
    <w:rsid w:val="00801966"/>
    <w:rsid w:val="00801DC7"/>
    <w:rsid w:val="00802AE1"/>
    <w:rsid w:val="00803542"/>
    <w:rsid w:val="008040B2"/>
    <w:rsid w:val="00805A1A"/>
    <w:rsid w:val="00806C83"/>
    <w:rsid w:val="008104F5"/>
    <w:rsid w:val="00810FE0"/>
    <w:rsid w:val="00811ECC"/>
    <w:rsid w:val="00812283"/>
    <w:rsid w:val="008123C6"/>
    <w:rsid w:val="00812E12"/>
    <w:rsid w:val="00813318"/>
    <w:rsid w:val="008137ED"/>
    <w:rsid w:val="008142E8"/>
    <w:rsid w:val="008154DC"/>
    <w:rsid w:val="008159EF"/>
    <w:rsid w:val="00816205"/>
    <w:rsid w:val="00816674"/>
    <w:rsid w:val="00820BEC"/>
    <w:rsid w:val="00822935"/>
    <w:rsid w:val="008238A9"/>
    <w:rsid w:val="00823937"/>
    <w:rsid w:val="00823BA3"/>
    <w:rsid w:val="00823C67"/>
    <w:rsid w:val="00825041"/>
    <w:rsid w:val="0082515B"/>
    <w:rsid w:val="00826398"/>
    <w:rsid w:val="00826F46"/>
    <w:rsid w:val="00826FBD"/>
    <w:rsid w:val="00827B48"/>
    <w:rsid w:val="00827B6C"/>
    <w:rsid w:val="0083005E"/>
    <w:rsid w:val="00831BC5"/>
    <w:rsid w:val="00831F3F"/>
    <w:rsid w:val="008325B1"/>
    <w:rsid w:val="00832947"/>
    <w:rsid w:val="00832D6B"/>
    <w:rsid w:val="00833EE3"/>
    <w:rsid w:val="0083404E"/>
    <w:rsid w:val="0083419E"/>
    <w:rsid w:val="00834A36"/>
    <w:rsid w:val="0083517A"/>
    <w:rsid w:val="0083790A"/>
    <w:rsid w:val="00837C43"/>
    <w:rsid w:val="00840734"/>
    <w:rsid w:val="00840A59"/>
    <w:rsid w:val="00844743"/>
    <w:rsid w:val="00844D26"/>
    <w:rsid w:val="00846BAD"/>
    <w:rsid w:val="00846E6F"/>
    <w:rsid w:val="00847BD5"/>
    <w:rsid w:val="0085011A"/>
    <w:rsid w:val="008502C5"/>
    <w:rsid w:val="0085137C"/>
    <w:rsid w:val="00851C20"/>
    <w:rsid w:val="00854AF2"/>
    <w:rsid w:val="00854B49"/>
    <w:rsid w:val="00854E3D"/>
    <w:rsid w:val="00854F69"/>
    <w:rsid w:val="008558E2"/>
    <w:rsid w:val="00856EDE"/>
    <w:rsid w:val="008571E2"/>
    <w:rsid w:val="00860603"/>
    <w:rsid w:val="00861994"/>
    <w:rsid w:val="00861EF2"/>
    <w:rsid w:val="008622D1"/>
    <w:rsid w:val="008623C9"/>
    <w:rsid w:val="00862D86"/>
    <w:rsid w:val="00863814"/>
    <w:rsid w:val="00863B2A"/>
    <w:rsid w:val="00863B66"/>
    <w:rsid w:val="0086446D"/>
    <w:rsid w:val="00865134"/>
    <w:rsid w:val="008668B7"/>
    <w:rsid w:val="008709D2"/>
    <w:rsid w:val="00871B13"/>
    <w:rsid w:val="00872271"/>
    <w:rsid w:val="008725EB"/>
    <w:rsid w:val="0087268F"/>
    <w:rsid w:val="0087447B"/>
    <w:rsid w:val="008750EE"/>
    <w:rsid w:val="00875AB5"/>
    <w:rsid w:val="00876238"/>
    <w:rsid w:val="008764F6"/>
    <w:rsid w:val="008765CE"/>
    <w:rsid w:val="0088247F"/>
    <w:rsid w:val="008825B2"/>
    <w:rsid w:val="008826DE"/>
    <w:rsid w:val="00882BB4"/>
    <w:rsid w:val="00883246"/>
    <w:rsid w:val="00883614"/>
    <w:rsid w:val="00884062"/>
    <w:rsid w:val="008840CE"/>
    <w:rsid w:val="00884556"/>
    <w:rsid w:val="00884BBA"/>
    <w:rsid w:val="00884E74"/>
    <w:rsid w:val="008870D0"/>
    <w:rsid w:val="008871C3"/>
    <w:rsid w:val="0089015D"/>
    <w:rsid w:val="008903BE"/>
    <w:rsid w:val="0089136B"/>
    <w:rsid w:val="00891B1C"/>
    <w:rsid w:val="00891EA9"/>
    <w:rsid w:val="00893615"/>
    <w:rsid w:val="008957AF"/>
    <w:rsid w:val="008959D2"/>
    <w:rsid w:val="008A0D1A"/>
    <w:rsid w:val="008A1A84"/>
    <w:rsid w:val="008A3BF9"/>
    <w:rsid w:val="008A430D"/>
    <w:rsid w:val="008A4A5A"/>
    <w:rsid w:val="008A543F"/>
    <w:rsid w:val="008A5886"/>
    <w:rsid w:val="008A63B3"/>
    <w:rsid w:val="008A6B5D"/>
    <w:rsid w:val="008B0138"/>
    <w:rsid w:val="008B094F"/>
    <w:rsid w:val="008B1684"/>
    <w:rsid w:val="008B1F37"/>
    <w:rsid w:val="008B2691"/>
    <w:rsid w:val="008B398B"/>
    <w:rsid w:val="008B4662"/>
    <w:rsid w:val="008B4687"/>
    <w:rsid w:val="008B6243"/>
    <w:rsid w:val="008C0967"/>
    <w:rsid w:val="008C0A1A"/>
    <w:rsid w:val="008C0A9E"/>
    <w:rsid w:val="008C0F91"/>
    <w:rsid w:val="008C1ED4"/>
    <w:rsid w:val="008C4699"/>
    <w:rsid w:val="008C493A"/>
    <w:rsid w:val="008C54F8"/>
    <w:rsid w:val="008C5FF3"/>
    <w:rsid w:val="008C670D"/>
    <w:rsid w:val="008C7CC5"/>
    <w:rsid w:val="008D00E1"/>
    <w:rsid w:val="008D0F88"/>
    <w:rsid w:val="008D1CF4"/>
    <w:rsid w:val="008D1F26"/>
    <w:rsid w:val="008D28BD"/>
    <w:rsid w:val="008D29DD"/>
    <w:rsid w:val="008D350B"/>
    <w:rsid w:val="008D5190"/>
    <w:rsid w:val="008D69D2"/>
    <w:rsid w:val="008D6F5F"/>
    <w:rsid w:val="008D7221"/>
    <w:rsid w:val="008D76FC"/>
    <w:rsid w:val="008D7BF7"/>
    <w:rsid w:val="008E0217"/>
    <w:rsid w:val="008E0DAD"/>
    <w:rsid w:val="008E11FF"/>
    <w:rsid w:val="008E1E92"/>
    <w:rsid w:val="008E2685"/>
    <w:rsid w:val="008E33B1"/>
    <w:rsid w:val="008E350D"/>
    <w:rsid w:val="008E5A63"/>
    <w:rsid w:val="008E763C"/>
    <w:rsid w:val="008F04B5"/>
    <w:rsid w:val="008F08C3"/>
    <w:rsid w:val="008F140C"/>
    <w:rsid w:val="008F166B"/>
    <w:rsid w:val="008F20C4"/>
    <w:rsid w:val="008F3109"/>
    <w:rsid w:val="008F5136"/>
    <w:rsid w:val="008F5F27"/>
    <w:rsid w:val="008F63A4"/>
    <w:rsid w:val="008F69F0"/>
    <w:rsid w:val="008F7FB2"/>
    <w:rsid w:val="00900DD5"/>
    <w:rsid w:val="00901359"/>
    <w:rsid w:val="00901782"/>
    <w:rsid w:val="009020DE"/>
    <w:rsid w:val="00903A60"/>
    <w:rsid w:val="0090440A"/>
    <w:rsid w:val="0090471A"/>
    <w:rsid w:val="0090479D"/>
    <w:rsid w:val="009069A1"/>
    <w:rsid w:val="009074B1"/>
    <w:rsid w:val="00907A72"/>
    <w:rsid w:val="0091029E"/>
    <w:rsid w:val="009111CB"/>
    <w:rsid w:val="009112FE"/>
    <w:rsid w:val="00912B5A"/>
    <w:rsid w:val="00913F83"/>
    <w:rsid w:val="009140BA"/>
    <w:rsid w:val="00914E2A"/>
    <w:rsid w:val="00915D12"/>
    <w:rsid w:val="00917C71"/>
    <w:rsid w:val="00920C85"/>
    <w:rsid w:val="0092178F"/>
    <w:rsid w:val="00921B99"/>
    <w:rsid w:val="0092257B"/>
    <w:rsid w:val="00922BBF"/>
    <w:rsid w:val="00923561"/>
    <w:rsid w:val="00923CEC"/>
    <w:rsid w:val="00923E69"/>
    <w:rsid w:val="00924D43"/>
    <w:rsid w:val="009250B9"/>
    <w:rsid w:val="00926023"/>
    <w:rsid w:val="00926EC6"/>
    <w:rsid w:val="00927489"/>
    <w:rsid w:val="00927520"/>
    <w:rsid w:val="0092774F"/>
    <w:rsid w:val="00927F77"/>
    <w:rsid w:val="00930107"/>
    <w:rsid w:val="00932721"/>
    <w:rsid w:val="009329A0"/>
    <w:rsid w:val="00932EB2"/>
    <w:rsid w:val="00933C66"/>
    <w:rsid w:val="009348F2"/>
    <w:rsid w:val="00934F0B"/>
    <w:rsid w:val="0093548B"/>
    <w:rsid w:val="00935663"/>
    <w:rsid w:val="0093607C"/>
    <w:rsid w:val="00936AC4"/>
    <w:rsid w:val="009404AE"/>
    <w:rsid w:val="00941110"/>
    <w:rsid w:val="0094131B"/>
    <w:rsid w:val="009426D9"/>
    <w:rsid w:val="00942B06"/>
    <w:rsid w:val="00942C36"/>
    <w:rsid w:val="009436C7"/>
    <w:rsid w:val="009439E5"/>
    <w:rsid w:val="009452C1"/>
    <w:rsid w:val="00946B1E"/>
    <w:rsid w:val="00947D5E"/>
    <w:rsid w:val="00950403"/>
    <w:rsid w:val="00950FA6"/>
    <w:rsid w:val="00951FD2"/>
    <w:rsid w:val="0095417F"/>
    <w:rsid w:val="00954E47"/>
    <w:rsid w:val="00956A3C"/>
    <w:rsid w:val="00957D95"/>
    <w:rsid w:val="0096137F"/>
    <w:rsid w:val="00961601"/>
    <w:rsid w:val="00962CC2"/>
    <w:rsid w:val="00963130"/>
    <w:rsid w:val="0096366F"/>
    <w:rsid w:val="00965319"/>
    <w:rsid w:val="0096559E"/>
    <w:rsid w:val="0096588D"/>
    <w:rsid w:val="0096601A"/>
    <w:rsid w:val="00966AED"/>
    <w:rsid w:val="00970A0F"/>
    <w:rsid w:val="0097339E"/>
    <w:rsid w:val="00973DBD"/>
    <w:rsid w:val="00975A88"/>
    <w:rsid w:val="00980673"/>
    <w:rsid w:val="00980D9F"/>
    <w:rsid w:val="00982FC4"/>
    <w:rsid w:val="009831E7"/>
    <w:rsid w:val="00983DC7"/>
    <w:rsid w:val="009849AF"/>
    <w:rsid w:val="009849BE"/>
    <w:rsid w:val="0098591F"/>
    <w:rsid w:val="00985CB5"/>
    <w:rsid w:val="00985D9F"/>
    <w:rsid w:val="0098607C"/>
    <w:rsid w:val="00986884"/>
    <w:rsid w:val="00986942"/>
    <w:rsid w:val="009871B4"/>
    <w:rsid w:val="009875AD"/>
    <w:rsid w:val="009903BB"/>
    <w:rsid w:val="00990EFE"/>
    <w:rsid w:val="00992E8D"/>
    <w:rsid w:val="00994189"/>
    <w:rsid w:val="0099480B"/>
    <w:rsid w:val="0099505E"/>
    <w:rsid w:val="00995297"/>
    <w:rsid w:val="009957C9"/>
    <w:rsid w:val="00996100"/>
    <w:rsid w:val="00996A76"/>
    <w:rsid w:val="00996BE2"/>
    <w:rsid w:val="00997527"/>
    <w:rsid w:val="009A0B9D"/>
    <w:rsid w:val="009A162C"/>
    <w:rsid w:val="009A1655"/>
    <w:rsid w:val="009A3221"/>
    <w:rsid w:val="009A46CB"/>
    <w:rsid w:val="009A5687"/>
    <w:rsid w:val="009A58EB"/>
    <w:rsid w:val="009B0C06"/>
    <w:rsid w:val="009B0E93"/>
    <w:rsid w:val="009B2E0A"/>
    <w:rsid w:val="009B46E3"/>
    <w:rsid w:val="009B5115"/>
    <w:rsid w:val="009B55AD"/>
    <w:rsid w:val="009B6385"/>
    <w:rsid w:val="009B6EA8"/>
    <w:rsid w:val="009B6FE2"/>
    <w:rsid w:val="009B7D1C"/>
    <w:rsid w:val="009C0834"/>
    <w:rsid w:val="009C083E"/>
    <w:rsid w:val="009C17F2"/>
    <w:rsid w:val="009C19E2"/>
    <w:rsid w:val="009C24FA"/>
    <w:rsid w:val="009C2E04"/>
    <w:rsid w:val="009C4756"/>
    <w:rsid w:val="009C5068"/>
    <w:rsid w:val="009C5F58"/>
    <w:rsid w:val="009D03A1"/>
    <w:rsid w:val="009D04FA"/>
    <w:rsid w:val="009D1025"/>
    <w:rsid w:val="009D194C"/>
    <w:rsid w:val="009D318F"/>
    <w:rsid w:val="009D4A09"/>
    <w:rsid w:val="009D50C9"/>
    <w:rsid w:val="009D6725"/>
    <w:rsid w:val="009D6CD0"/>
    <w:rsid w:val="009E0447"/>
    <w:rsid w:val="009E2231"/>
    <w:rsid w:val="009E2398"/>
    <w:rsid w:val="009E2BF5"/>
    <w:rsid w:val="009E2C8E"/>
    <w:rsid w:val="009E32E2"/>
    <w:rsid w:val="009E4675"/>
    <w:rsid w:val="009E4872"/>
    <w:rsid w:val="009E5657"/>
    <w:rsid w:val="009E60F0"/>
    <w:rsid w:val="009E668C"/>
    <w:rsid w:val="009E780C"/>
    <w:rsid w:val="009E7B95"/>
    <w:rsid w:val="009F1BED"/>
    <w:rsid w:val="009F228F"/>
    <w:rsid w:val="009F3F28"/>
    <w:rsid w:val="009F480D"/>
    <w:rsid w:val="009F4AFD"/>
    <w:rsid w:val="009F7A93"/>
    <w:rsid w:val="00A00109"/>
    <w:rsid w:val="00A0083A"/>
    <w:rsid w:val="00A00845"/>
    <w:rsid w:val="00A052D3"/>
    <w:rsid w:val="00A054D6"/>
    <w:rsid w:val="00A06222"/>
    <w:rsid w:val="00A07075"/>
    <w:rsid w:val="00A07AD8"/>
    <w:rsid w:val="00A07E7B"/>
    <w:rsid w:val="00A10157"/>
    <w:rsid w:val="00A104A1"/>
    <w:rsid w:val="00A11220"/>
    <w:rsid w:val="00A1221D"/>
    <w:rsid w:val="00A1312C"/>
    <w:rsid w:val="00A13849"/>
    <w:rsid w:val="00A14FEB"/>
    <w:rsid w:val="00A150BA"/>
    <w:rsid w:val="00A15520"/>
    <w:rsid w:val="00A163A6"/>
    <w:rsid w:val="00A16A88"/>
    <w:rsid w:val="00A16ED9"/>
    <w:rsid w:val="00A20576"/>
    <w:rsid w:val="00A20CFF"/>
    <w:rsid w:val="00A213FA"/>
    <w:rsid w:val="00A221AA"/>
    <w:rsid w:val="00A22382"/>
    <w:rsid w:val="00A22F55"/>
    <w:rsid w:val="00A243EE"/>
    <w:rsid w:val="00A2552C"/>
    <w:rsid w:val="00A25C67"/>
    <w:rsid w:val="00A25E50"/>
    <w:rsid w:val="00A2690A"/>
    <w:rsid w:val="00A269E8"/>
    <w:rsid w:val="00A3292B"/>
    <w:rsid w:val="00A32BBD"/>
    <w:rsid w:val="00A32F23"/>
    <w:rsid w:val="00A337B2"/>
    <w:rsid w:val="00A33BA5"/>
    <w:rsid w:val="00A35A85"/>
    <w:rsid w:val="00A35C32"/>
    <w:rsid w:val="00A36B37"/>
    <w:rsid w:val="00A37323"/>
    <w:rsid w:val="00A40EEE"/>
    <w:rsid w:val="00A41060"/>
    <w:rsid w:val="00A4185C"/>
    <w:rsid w:val="00A4226A"/>
    <w:rsid w:val="00A42D84"/>
    <w:rsid w:val="00A43191"/>
    <w:rsid w:val="00A433A5"/>
    <w:rsid w:val="00A43D8F"/>
    <w:rsid w:val="00A43ED6"/>
    <w:rsid w:val="00A47186"/>
    <w:rsid w:val="00A47864"/>
    <w:rsid w:val="00A506BC"/>
    <w:rsid w:val="00A516FB"/>
    <w:rsid w:val="00A52968"/>
    <w:rsid w:val="00A5452A"/>
    <w:rsid w:val="00A54BD9"/>
    <w:rsid w:val="00A56AD8"/>
    <w:rsid w:val="00A5799E"/>
    <w:rsid w:val="00A6249C"/>
    <w:rsid w:val="00A66DD4"/>
    <w:rsid w:val="00A67303"/>
    <w:rsid w:val="00A6791F"/>
    <w:rsid w:val="00A67B87"/>
    <w:rsid w:val="00A70CC5"/>
    <w:rsid w:val="00A7255E"/>
    <w:rsid w:val="00A725F5"/>
    <w:rsid w:val="00A73402"/>
    <w:rsid w:val="00A740EC"/>
    <w:rsid w:val="00A745E9"/>
    <w:rsid w:val="00A74D73"/>
    <w:rsid w:val="00A75F07"/>
    <w:rsid w:val="00A767F2"/>
    <w:rsid w:val="00A76E1E"/>
    <w:rsid w:val="00A774AD"/>
    <w:rsid w:val="00A804AF"/>
    <w:rsid w:val="00A81E1D"/>
    <w:rsid w:val="00A82C6C"/>
    <w:rsid w:val="00A82D54"/>
    <w:rsid w:val="00A84FFF"/>
    <w:rsid w:val="00A857FE"/>
    <w:rsid w:val="00A87190"/>
    <w:rsid w:val="00A87C4C"/>
    <w:rsid w:val="00A900AB"/>
    <w:rsid w:val="00A900E8"/>
    <w:rsid w:val="00A90E11"/>
    <w:rsid w:val="00A913AC"/>
    <w:rsid w:val="00A918B3"/>
    <w:rsid w:val="00A924E0"/>
    <w:rsid w:val="00A934A2"/>
    <w:rsid w:val="00A941D3"/>
    <w:rsid w:val="00A95C57"/>
    <w:rsid w:val="00A96840"/>
    <w:rsid w:val="00A97698"/>
    <w:rsid w:val="00AA134B"/>
    <w:rsid w:val="00AA37FC"/>
    <w:rsid w:val="00AA39C0"/>
    <w:rsid w:val="00AA4F6F"/>
    <w:rsid w:val="00AA5810"/>
    <w:rsid w:val="00AA60E6"/>
    <w:rsid w:val="00AA60F6"/>
    <w:rsid w:val="00AA6172"/>
    <w:rsid w:val="00AA6695"/>
    <w:rsid w:val="00AA787D"/>
    <w:rsid w:val="00AB0E3D"/>
    <w:rsid w:val="00AB3362"/>
    <w:rsid w:val="00AB3788"/>
    <w:rsid w:val="00AB38E7"/>
    <w:rsid w:val="00AB51B1"/>
    <w:rsid w:val="00AB62F9"/>
    <w:rsid w:val="00AB7E86"/>
    <w:rsid w:val="00AC397E"/>
    <w:rsid w:val="00AC4481"/>
    <w:rsid w:val="00AC48AB"/>
    <w:rsid w:val="00AC491D"/>
    <w:rsid w:val="00AC4DE8"/>
    <w:rsid w:val="00AC5C5E"/>
    <w:rsid w:val="00AC6476"/>
    <w:rsid w:val="00AC67A6"/>
    <w:rsid w:val="00AC6E16"/>
    <w:rsid w:val="00AC7633"/>
    <w:rsid w:val="00AC7A14"/>
    <w:rsid w:val="00AC7F6A"/>
    <w:rsid w:val="00AD023B"/>
    <w:rsid w:val="00AD0286"/>
    <w:rsid w:val="00AD1965"/>
    <w:rsid w:val="00AD31A7"/>
    <w:rsid w:val="00AD4F7E"/>
    <w:rsid w:val="00AD7FC1"/>
    <w:rsid w:val="00AE0B7E"/>
    <w:rsid w:val="00AE0C31"/>
    <w:rsid w:val="00AE1F44"/>
    <w:rsid w:val="00AE2E24"/>
    <w:rsid w:val="00AE420D"/>
    <w:rsid w:val="00AE5BDA"/>
    <w:rsid w:val="00AE61F2"/>
    <w:rsid w:val="00AE77A5"/>
    <w:rsid w:val="00AE79FA"/>
    <w:rsid w:val="00AF0312"/>
    <w:rsid w:val="00AF12A6"/>
    <w:rsid w:val="00AF1302"/>
    <w:rsid w:val="00AF2C44"/>
    <w:rsid w:val="00AF308E"/>
    <w:rsid w:val="00AF3A65"/>
    <w:rsid w:val="00AF4136"/>
    <w:rsid w:val="00AF591D"/>
    <w:rsid w:val="00AF6C0E"/>
    <w:rsid w:val="00AF7F6F"/>
    <w:rsid w:val="00B00720"/>
    <w:rsid w:val="00B00E46"/>
    <w:rsid w:val="00B01533"/>
    <w:rsid w:val="00B0209A"/>
    <w:rsid w:val="00B03F09"/>
    <w:rsid w:val="00B06210"/>
    <w:rsid w:val="00B07FD4"/>
    <w:rsid w:val="00B101D8"/>
    <w:rsid w:val="00B10A3A"/>
    <w:rsid w:val="00B11420"/>
    <w:rsid w:val="00B11847"/>
    <w:rsid w:val="00B12F9C"/>
    <w:rsid w:val="00B13C9A"/>
    <w:rsid w:val="00B14D00"/>
    <w:rsid w:val="00B161E9"/>
    <w:rsid w:val="00B218FE"/>
    <w:rsid w:val="00B21DD0"/>
    <w:rsid w:val="00B2253F"/>
    <w:rsid w:val="00B22CA2"/>
    <w:rsid w:val="00B22E32"/>
    <w:rsid w:val="00B23811"/>
    <w:rsid w:val="00B2514F"/>
    <w:rsid w:val="00B26990"/>
    <w:rsid w:val="00B27368"/>
    <w:rsid w:val="00B277BB"/>
    <w:rsid w:val="00B3011B"/>
    <w:rsid w:val="00B30A49"/>
    <w:rsid w:val="00B30A91"/>
    <w:rsid w:val="00B32C30"/>
    <w:rsid w:val="00B32DDF"/>
    <w:rsid w:val="00B33F2C"/>
    <w:rsid w:val="00B36110"/>
    <w:rsid w:val="00B363A8"/>
    <w:rsid w:val="00B4087B"/>
    <w:rsid w:val="00B414FD"/>
    <w:rsid w:val="00B42A7B"/>
    <w:rsid w:val="00B448E2"/>
    <w:rsid w:val="00B46135"/>
    <w:rsid w:val="00B461C3"/>
    <w:rsid w:val="00B473DB"/>
    <w:rsid w:val="00B50E56"/>
    <w:rsid w:val="00B51990"/>
    <w:rsid w:val="00B51BCC"/>
    <w:rsid w:val="00B51DE2"/>
    <w:rsid w:val="00B529E1"/>
    <w:rsid w:val="00B532EA"/>
    <w:rsid w:val="00B53B84"/>
    <w:rsid w:val="00B549D4"/>
    <w:rsid w:val="00B55684"/>
    <w:rsid w:val="00B606F7"/>
    <w:rsid w:val="00B61B30"/>
    <w:rsid w:val="00B62558"/>
    <w:rsid w:val="00B63F3C"/>
    <w:rsid w:val="00B646FE"/>
    <w:rsid w:val="00B65831"/>
    <w:rsid w:val="00B66422"/>
    <w:rsid w:val="00B67845"/>
    <w:rsid w:val="00B70E10"/>
    <w:rsid w:val="00B712AC"/>
    <w:rsid w:val="00B75094"/>
    <w:rsid w:val="00B777E3"/>
    <w:rsid w:val="00B77E2B"/>
    <w:rsid w:val="00B80092"/>
    <w:rsid w:val="00B81A10"/>
    <w:rsid w:val="00B82ABB"/>
    <w:rsid w:val="00B83576"/>
    <w:rsid w:val="00B83B6B"/>
    <w:rsid w:val="00B83E6C"/>
    <w:rsid w:val="00B8431C"/>
    <w:rsid w:val="00B85127"/>
    <w:rsid w:val="00B87214"/>
    <w:rsid w:val="00B8735B"/>
    <w:rsid w:val="00B9030D"/>
    <w:rsid w:val="00B908D2"/>
    <w:rsid w:val="00B91B6E"/>
    <w:rsid w:val="00B92BFD"/>
    <w:rsid w:val="00B94283"/>
    <w:rsid w:val="00B94884"/>
    <w:rsid w:val="00B967B2"/>
    <w:rsid w:val="00B97470"/>
    <w:rsid w:val="00BA01E0"/>
    <w:rsid w:val="00BA039D"/>
    <w:rsid w:val="00BA0931"/>
    <w:rsid w:val="00BA17FA"/>
    <w:rsid w:val="00BA1B34"/>
    <w:rsid w:val="00BA34C5"/>
    <w:rsid w:val="00BA4513"/>
    <w:rsid w:val="00BA6D0A"/>
    <w:rsid w:val="00BA7579"/>
    <w:rsid w:val="00BA76EB"/>
    <w:rsid w:val="00BB0CDC"/>
    <w:rsid w:val="00BB3455"/>
    <w:rsid w:val="00BB4145"/>
    <w:rsid w:val="00BB477E"/>
    <w:rsid w:val="00BB4E2A"/>
    <w:rsid w:val="00BB50CA"/>
    <w:rsid w:val="00BB767D"/>
    <w:rsid w:val="00BB77CF"/>
    <w:rsid w:val="00BC1E78"/>
    <w:rsid w:val="00BC241D"/>
    <w:rsid w:val="00BC3C23"/>
    <w:rsid w:val="00BC4DAA"/>
    <w:rsid w:val="00BC50BA"/>
    <w:rsid w:val="00BC5E25"/>
    <w:rsid w:val="00BC68E3"/>
    <w:rsid w:val="00BC7C0A"/>
    <w:rsid w:val="00BD04F1"/>
    <w:rsid w:val="00BD0D03"/>
    <w:rsid w:val="00BD0F6B"/>
    <w:rsid w:val="00BD232A"/>
    <w:rsid w:val="00BD29EB"/>
    <w:rsid w:val="00BD314D"/>
    <w:rsid w:val="00BD32D5"/>
    <w:rsid w:val="00BD4269"/>
    <w:rsid w:val="00BD4E59"/>
    <w:rsid w:val="00BD5C93"/>
    <w:rsid w:val="00BD5F4C"/>
    <w:rsid w:val="00BD6287"/>
    <w:rsid w:val="00BD6F94"/>
    <w:rsid w:val="00BE17F0"/>
    <w:rsid w:val="00BE3151"/>
    <w:rsid w:val="00BE4076"/>
    <w:rsid w:val="00BE48D4"/>
    <w:rsid w:val="00BE4C10"/>
    <w:rsid w:val="00BE5440"/>
    <w:rsid w:val="00BE553D"/>
    <w:rsid w:val="00BE6B47"/>
    <w:rsid w:val="00BF0AFA"/>
    <w:rsid w:val="00BF0B32"/>
    <w:rsid w:val="00BF0C8E"/>
    <w:rsid w:val="00BF0F9E"/>
    <w:rsid w:val="00BF1084"/>
    <w:rsid w:val="00BF21F9"/>
    <w:rsid w:val="00BF2A06"/>
    <w:rsid w:val="00BF3AFA"/>
    <w:rsid w:val="00BF63C8"/>
    <w:rsid w:val="00BF6D89"/>
    <w:rsid w:val="00BF6F0A"/>
    <w:rsid w:val="00BF7510"/>
    <w:rsid w:val="00C001BA"/>
    <w:rsid w:val="00C0132E"/>
    <w:rsid w:val="00C01F0F"/>
    <w:rsid w:val="00C0238E"/>
    <w:rsid w:val="00C02E70"/>
    <w:rsid w:val="00C10859"/>
    <w:rsid w:val="00C1107F"/>
    <w:rsid w:val="00C1321E"/>
    <w:rsid w:val="00C1423D"/>
    <w:rsid w:val="00C1449B"/>
    <w:rsid w:val="00C14D9D"/>
    <w:rsid w:val="00C15D51"/>
    <w:rsid w:val="00C202AE"/>
    <w:rsid w:val="00C20F0B"/>
    <w:rsid w:val="00C21007"/>
    <w:rsid w:val="00C222B1"/>
    <w:rsid w:val="00C229B9"/>
    <w:rsid w:val="00C27DEB"/>
    <w:rsid w:val="00C31199"/>
    <w:rsid w:val="00C3246B"/>
    <w:rsid w:val="00C32537"/>
    <w:rsid w:val="00C32881"/>
    <w:rsid w:val="00C33288"/>
    <w:rsid w:val="00C35BF0"/>
    <w:rsid w:val="00C35CEF"/>
    <w:rsid w:val="00C36447"/>
    <w:rsid w:val="00C36FC3"/>
    <w:rsid w:val="00C4066D"/>
    <w:rsid w:val="00C41378"/>
    <w:rsid w:val="00C41E2D"/>
    <w:rsid w:val="00C435EC"/>
    <w:rsid w:val="00C44B3D"/>
    <w:rsid w:val="00C4508E"/>
    <w:rsid w:val="00C45435"/>
    <w:rsid w:val="00C46A9D"/>
    <w:rsid w:val="00C46E19"/>
    <w:rsid w:val="00C46EC4"/>
    <w:rsid w:val="00C470A4"/>
    <w:rsid w:val="00C470DB"/>
    <w:rsid w:val="00C51E7D"/>
    <w:rsid w:val="00C525A3"/>
    <w:rsid w:val="00C54039"/>
    <w:rsid w:val="00C54432"/>
    <w:rsid w:val="00C55B57"/>
    <w:rsid w:val="00C570E1"/>
    <w:rsid w:val="00C57520"/>
    <w:rsid w:val="00C5774E"/>
    <w:rsid w:val="00C60871"/>
    <w:rsid w:val="00C6095E"/>
    <w:rsid w:val="00C60D51"/>
    <w:rsid w:val="00C62B0D"/>
    <w:rsid w:val="00C62C4B"/>
    <w:rsid w:val="00C63B75"/>
    <w:rsid w:val="00C641B7"/>
    <w:rsid w:val="00C6491F"/>
    <w:rsid w:val="00C64C02"/>
    <w:rsid w:val="00C65594"/>
    <w:rsid w:val="00C65863"/>
    <w:rsid w:val="00C66BCA"/>
    <w:rsid w:val="00C66CD1"/>
    <w:rsid w:val="00C6794D"/>
    <w:rsid w:val="00C67A5B"/>
    <w:rsid w:val="00C70510"/>
    <w:rsid w:val="00C71FF1"/>
    <w:rsid w:val="00C72570"/>
    <w:rsid w:val="00C726F1"/>
    <w:rsid w:val="00C727AB"/>
    <w:rsid w:val="00C7377E"/>
    <w:rsid w:val="00C7761D"/>
    <w:rsid w:val="00C8093E"/>
    <w:rsid w:val="00C81734"/>
    <w:rsid w:val="00C83241"/>
    <w:rsid w:val="00C837C4"/>
    <w:rsid w:val="00C83E91"/>
    <w:rsid w:val="00C85425"/>
    <w:rsid w:val="00C8659C"/>
    <w:rsid w:val="00C86797"/>
    <w:rsid w:val="00C86798"/>
    <w:rsid w:val="00C903DC"/>
    <w:rsid w:val="00C90A3C"/>
    <w:rsid w:val="00C90A70"/>
    <w:rsid w:val="00C928C9"/>
    <w:rsid w:val="00C93B1F"/>
    <w:rsid w:val="00C97541"/>
    <w:rsid w:val="00CA05BE"/>
    <w:rsid w:val="00CA5646"/>
    <w:rsid w:val="00CA699B"/>
    <w:rsid w:val="00CA702B"/>
    <w:rsid w:val="00CB0EEA"/>
    <w:rsid w:val="00CB3835"/>
    <w:rsid w:val="00CC15A7"/>
    <w:rsid w:val="00CC2F5C"/>
    <w:rsid w:val="00CC300D"/>
    <w:rsid w:val="00CC3329"/>
    <w:rsid w:val="00CC4F37"/>
    <w:rsid w:val="00CC643E"/>
    <w:rsid w:val="00CC734A"/>
    <w:rsid w:val="00CC7F01"/>
    <w:rsid w:val="00CD14E6"/>
    <w:rsid w:val="00CD3509"/>
    <w:rsid w:val="00CD38C9"/>
    <w:rsid w:val="00CD43D7"/>
    <w:rsid w:val="00CD4AB8"/>
    <w:rsid w:val="00CD56E8"/>
    <w:rsid w:val="00CD5A43"/>
    <w:rsid w:val="00CD60C4"/>
    <w:rsid w:val="00CD70B3"/>
    <w:rsid w:val="00CD7979"/>
    <w:rsid w:val="00CE093C"/>
    <w:rsid w:val="00CE1D56"/>
    <w:rsid w:val="00CE2730"/>
    <w:rsid w:val="00CE2F2C"/>
    <w:rsid w:val="00CE4016"/>
    <w:rsid w:val="00CE63C6"/>
    <w:rsid w:val="00CF06F6"/>
    <w:rsid w:val="00CF08BD"/>
    <w:rsid w:val="00CF243D"/>
    <w:rsid w:val="00CF2E4D"/>
    <w:rsid w:val="00CF3704"/>
    <w:rsid w:val="00CF42D9"/>
    <w:rsid w:val="00CF44A3"/>
    <w:rsid w:val="00CF681D"/>
    <w:rsid w:val="00CF6843"/>
    <w:rsid w:val="00D01601"/>
    <w:rsid w:val="00D01C89"/>
    <w:rsid w:val="00D02319"/>
    <w:rsid w:val="00D0295E"/>
    <w:rsid w:val="00D02D56"/>
    <w:rsid w:val="00D03B46"/>
    <w:rsid w:val="00D04645"/>
    <w:rsid w:val="00D0488E"/>
    <w:rsid w:val="00D04C65"/>
    <w:rsid w:val="00D04DF9"/>
    <w:rsid w:val="00D053AE"/>
    <w:rsid w:val="00D05836"/>
    <w:rsid w:val="00D05DD3"/>
    <w:rsid w:val="00D071A2"/>
    <w:rsid w:val="00D07389"/>
    <w:rsid w:val="00D07FB9"/>
    <w:rsid w:val="00D114E3"/>
    <w:rsid w:val="00D125F0"/>
    <w:rsid w:val="00D13F70"/>
    <w:rsid w:val="00D14725"/>
    <w:rsid w:val="00D15802"/>
    <w:rsid w:val="00D15CC9"/>
    <w:rsid w:val="00D2142D"/>
    <w:rsid w:val="00D21E20"/>
    <w:rsid w:val="00D2243C"/>
    <w:rsid w:val="00D229E4"/>
    <w:rsid w:val="00D22C4A"/>
    <w:rsid w:val="00D22FC1"/>
    <w:rsid w:val="00D238C1"/>
    <w:rsid w:val="00D24959"/>
    <w:rsid w:val="00D254B8"/>
    <w:rsid w:val="00D25EAD"/>
    <w:rsid w:val="00D26332"/>
    <w:rsid w:val="00D3117F"/>
    <w:rsid w:val="00D31F61"/>
    <w:rsid w:val="00D33B6B"/>
    <w:rsid w:val="00D340E6"/>
    <w:rsid w:val="00D3564E"/>
    <w:rsid w:val="00D35C33"/>
    <w:rsid w:val="00D35CBB"/>
    <w:rsid w:val="00D402E0"/>
    <w:rsid w:val="00D40397"/>
    <w:rsid w:val="00D417EE"/>
    <w:rsid w:val="00D41A50"/>
    <w:rsid w:val="00D41DA7"/>
    <w:rsid w:val="00D42D43"/>
    <w:rsid w:val="00D44988"/>
    <w:rsid w:val="00D44B76"/>
    <w:rsid w:val="00D45D99"/>
    <w:rsid w:val="00D46383"/>
    <w:rsid w:val="00D46D4F"/>
    <w:rsid w:val="00D46FDB"/>
    <w:rsid w:val="00D4735C"/>
    <w:rsid w:val="00D47EC7"/>
    <w:rsid w:val="00D515D6"/>
    <w:rsid w:val="00D5277C"/>
    <w:rsid w:val="00D5338D"/>
    <w:rsid w:val="00D55720"/>
    <w:rsid w:val="00D55F45"/>
    <w:rsid w:val="00D5609F"/>
    <w:rsid w:val="00D566D7"/>
    <w:rsid w:val="00D56863"/>
    <w:rsid w:val="00D569E2"/>
    <w:rsid w:val="00D57303"/>
    <w:rsid w:val="00D601F0"/>
    <w:rsid w:val="00D61406"/>
    <w:rsid w:val="00D61627"/>
    <w:rsid w:val="00D61A61"/>
    <w:rsid w:val="00D62D7D"/>
    <w:rsid w:val="00D62EA1"/>
    <w:rsid w:val="00D63F3E"/>
    <w:rsid w:val="00D6600C"/>
    <w:rsid w:val="00D66590"/>
    <w:rsid w:val="00D70D0C"/>
    <w:rsid w:val="00D716C8"/>
    <w:rsid w:val="00D72BBD"/>
    <w:rsid w:val="00D72CE5"/>
    <w:rsid w:val="00D73714"/>
    <w:rsid w:val="00D73D80"/>
    <w:rsid w:val="00D7488C"/>
    <w:rsid w:val="00D7564C"/>
    <w:rsid w:val="00D77E42"/>
    <w:rsid w:val="00D80009"/>
    <w:rsid w:val="00D80B07"/>
    <w:rsid w:val="00D817CF"/>
    <w:rsid w:val="00D81949"/>
    <w:rsid w:val="00D81E37"/>
    <w:rsid w:val="00D84F89"/>
    <w:rsid w:val="00D85B39"/>
    <w:rsid w:val="00D863A0"/>
    <w:rsid w:val="00D87CED"/>
    <w:rsid w:val="00D90649"/>
    <w:rsid w:val="00D9491E"/>
    <w:rsid w:val="00D95327"/>
    <w:rsid w:val="00D96181"/>
    <w:rsid w:val="00D96B1F"/>
    <w:rsid w:val="00DA14F4"/>
    <w:rsid w:val="00DA17DE"/>
    <w:rsid w:val="00DA19F9"/>
    <w:rsid w:val="00DA2659"/>
    <w:rsid w:val="00DA299D"/>
    <w:rsid w:val="00DA2A03"/>
    <w:rsid w:val="00DA3EE2"/>
    <w:rsid w:val="00DA48B2"/>
    <w:rsid w:val="00DA4ED0"/>
    <w:rsid w:val="00DA5913"/>
    <w:rsid w:val="00DA6C17"/>
    <w:rsid w:val="00DA788F"/>
    <w:rsid w:val="00DB1082"/>
    <w:rsid w:val="00DB3DF7"/>
    <w:rsid w:val="00DB4CB7"/>
    <w:rsid w:val="00DB7312"/>
    <w:rsid w:val="00DB7DD7"/>
    <w:rsid w:val="00DC0A2A"/>
    <w:rsid w:val="00DC1634"/>
    <w:rsid w:val="00DC2BB6"/>
    <w:rsid w:val="00DC3B70"/>
    <w:rsid w:val="00DC41A6"/>
    <w:rsid w:val="00DC5D8E"/>
    <w:rsid w:val="00DC66F7"/>
    <w:rsid w:val="00DC71F7"/>
    <w:rsid w:val="00DD04A9"/>
    <w:rsid w:val="00DD05A2"/>
    <w:rsid w:val="00DD07D6"/>
    <w:rsid w:val="00DD0B3E"/>
    <w:rsid w:val="00DD0C0E"/>
    <w:rsid w:val="00DD0D20"/>
    <w:rsid w:val="00DD1CF1"/>
    <w:rsid w:val="00DD37CA"/>
    <w:rsid w:val="00DD3CE2"/>
    <w:rsid w:val="00DD6BEA"/>
    <w:rsid w:val="00DD6D3A"/>
    <w:rsid w:val="00DE2D69"/>
    <w:rsid w:val="00DE37A5"/>
    <w:rsid w:val="00DE69A6"/>
    <w:rsid w:val="00DE6BF5"/>
    <w:rsid w:val="00DE6C67"/>
    <w:rsid w:val="00DF032D"/>
    <w:rsid w:val="00DF09F5"/>
    <w:rsid w:val="00DF1EFF"/>
    <w:rsid w:val="00DF2B1A"/>
    <w:rsid w:val="00DF3DC7"/>
    <w:rsid w:val="00DF6093"/>
    <w:rsid w:val="00DF6624"/>
    <w:rsid w:val="00DF6C86"/>
    <w:rsid w:val="00DF71FE"/>
    <w:rsid w:val="00E02804"/>
    <w:rsid w:val="00E034E6"/>
    <w:rsid w:val="00E0359F"/>
    <w:rsid w:val="00E03BFC"/>
    <w:rsid w:val="00E03DD7"/>
    <w:rsid w:val="00E04619"/>
    <w:rsid w:val="00E05F1C"/>
    <w:rsid w:val="00E100E0"/>
    <w:rsid w:val="00E10527"/>
    <w:rsid w:val="00E113ED"/>
    <w:rsid w:val="00E13936"/>
    <w:rsid w:val="00E14236"/>
    <w:rsid w:val="00E1435B"/>
    <w:rsid w:val="00E167DC"/>
    <w:rsid w:val="00E1773B"/>
    <w:rsid w:val="00E2003E"/>
    <w:rsid w:val="00E221F8"/>
    <w:rsid w:val="00E228C7"/>
    <w:rsid w:val="00E22EB2"/>
    <w:rsid w:val="00E23507"/>
    <w:rsid w:val="00E249B1"/>
    <w:rsid w:val="00E24C0D"/>
    <w:rsid w:val="00E25DD2"/>
    <w:rsid w:val="00E27933"/>
    <w:rsid w:val="00E27BD0"/>
    <w:rsid w:val="00E30942"/>
    <w:rsid w:val="00E315B9"/>
    <w:rsid w:val="00E31E89"/>
    <w:rsid w:val="00E3362E"/>
    <w:rsid w:val="00E33EB4"/>
    <w:rsid w:val="00E3499C"/>
    <w:rsid w:val="00E3503A"/>
    <w:rsid w:val="00E3695A"/>
    <w:rsid w:val="00E36A64"/>
    <w:rsid w:val="00E36A88"/>
    <w:rsid w:val="00E40074"/>
    <w:rsid w:val="00E40DCB"/>
    <w:rsid w:val="00E40FA6"/>
    <w:rsid w:val="00E412D5"/>
    <w:rsid w:val="00E41CE2"/>
    <w:rsid w:val="00E438DA"/>
    <w:rsid w:val="00E4443C"/>
    <w:rsid w:val="00E44522"/>
    <w:rsid w:val="00E446D2"/>
    <w:rsid w:val="00E446F1"/>
    <w:rsid w:val="00E45634"/>
    <w:rsid w:val="00E45EF1"/>
    <w:rsid w:val="00E51618"/>
    <w:rsid w:val="00E51839"/>
    <w:rsid w:val="00E51BD2"/>
    <w:rsid w:val="00E51F35"/>
    <w:rsid w:val="00E527EF"/>
    <w:rsid w:val="00E538E0"/>
    <w:rsid w:val="00E54852"/>
    <w:rsid w:val="00E548ED"/>
    <w:rsid w:val="00E55388"/>
    <w:rsid w:val="00E557CC"/>
    <w:rsid w:val="00E5603A"/>
    <w:rsid w:val="00E57205"/>
    <w:rsid w:val="00E57ADF"/>
    <w:rsid w:val="00E600A6"/>
    <w:rsid w:val="00E604CE"/>
    <w:rsid w:val="00E62172"/>
    <w:rsid w:val="00E63BBB"/>
    <w:rsid w:val="00E63CF7"/>
    <w:rsid w:val="00E63E63"/>
    <w:rsid w:val="00E648A8"/>
    <w:rsid w:val="00E64D68"/>
    <w:rsid w:val="00E659CA"/>
    <w:rsid w:val="00E65A32"/>
    <w:rsid w:val="00E65C3B"/>
    <w:rsid w:val="00E66026"/>
    <w:rsid w:val="00E66B44"/>
    <w:rsid w:val="00E66F28"/>
    <w:rsid w:val="00E70205"/>
    <w:rsid w:val="00E71D7C"/>
    <w:rsid w:val="00E727F8"/>
    <w:rsid w:val="00E741C7"/>
    <w:rsid w:val="00E74C24"/>
    <w:rsid w:val="00E75A6A"/>
    <w:rsid w:val="00E80207"/>
    <w:rsid w:val="00E809AE"/>
    <w:rsid w:val="00E81572"/>
    <w:rsid w:val="00E850F4"/>
    <w:rsid w:val="00E85798"/>
    <w:rsid w:val="00E85ABD"/>
    <w:rsid w:val="00E91841"/>
    <w:rsid w:val="00E918FC"/>
    <w:rsid w:val="00E91BB5"/>
    <w:rsid w:val="00E92888"/>
    <w:rsid w:val="00E92CF9"/>
    <w:rsid w:val="00E94CC5"/>
    <w:rsid w:val="00E95116"/>
    <w:rsid w:val="00E95E7D"/>
    <w:rsid w:val="00E96519"/>
    <w:rsid w:val="00EA1450"/>
    <w:rsid w:val="00EA57AC"/>
    <w:rsid w:val="00EA7E22"/>
    <w:rsid w:val="00EB005E"/>
    <w:rsid w:val="00EB0A80"/>
    <w:rsid w:val="00EB1291"/>
    <w:rsid w:val="00EB3FC3"/>
    <w:rsid w:val="00EB55DE"/>
    <w:rsid w:val="00EB56EF"/>
    <w:rsid w:val="00EB5C90"/>
    <w:rsid w:val="00EB5CFB"/>
    <w:rsid w:val="00EC0737"/>
    <w:rsid w:val="00EC0CFD"/>
    <w:rsid w:val="00EC1780"/>
    <w:rsid w:val="00EC2119"/>
    <w:rsid w:val="00EC218C"/>
    <w:rsid w:val="00EC36F8"/>
    <w:rsid w:val="00EC44B0"/>
    <w:rsid w:val="00EC5718"/>
    <w:rsid w:val="00EC5C7A"/>
    <w:rsid w:val="00EC6668"/>
    <w:rsid w:val="00EC7BBC"/>
    <w:rsid w:val="00ED0363"/>
    <w:rsid w:val="00ED0709"/>
    <w:rsid w:val="00ED190A"/>
    <w:rsid w:val="00ED237A"/>
    <w:rsid w:val="00ED2F70"/>
    <w:rsid w:val="00ED3086"/>
    <w:rsid w:val="00ED3BCF"/>
    <w:rsid w:val="00ED3F8B"/>
    <w:rsid w:val="00ED532F"/>
    <w:rsid w:val="00ED537C"/>
    <w:rsid w:val="00ED5763"/>
    <w:rsid w:val="00ED6845"/>
    <w:rsid w:val="00ED764F"/>
    <w:rsid w:val="00ED79DB"/>
    <w:rsid w:val="00ED7D7C"/>
    <w:rsid w:val="00EE08B1"/>
    <w:rsid w:val="00EE1479"/>
    <w:rsid w:val="00EE1AC5"/>
    <w:rsid w:val="00EE2250"/>
    <w:rsid w:val="00EE3CBC"/>
    <w:rsid w:val="00EE51F5"/>
    <w:rsid w:val="00EE56B9"/>
    <w:rsid w:val="00EE5983"/>
    <w:rsid w:val="00EE5AE7"/>
    <w:rsid w:val="00EE6523"/>
    <w:rsid w:val="00EF0D01"/>
    <w:rsid w:val="00EF1293"/>
    <w:rsid w:val="00EF21EF"/>
    <w:rsid w:val="00EF2252"/>
    <w:rsid w:val="00EF2792"/>
    <w:rsid w:val="00EF2881"/>
    <w:rsid w:val="00EF495A"/>
    <w:rsid w:val="00EF636B"/>
    <w:rsid w:val="00EF67CA"/>
    <w:rsid w:val="00EF7B11"/>
    <w:rsid w:val="00F013BB"/>
    <w:rsid w:val="00F02B85"/>
    <w:rsid w:val="00F02CD3"/>
    <w:rsid w:val="00F037E0"/>
    <w:rsid w:val="00F07029"/>
    <w:rsid w:val="00F10060"/>
    <w:rsid w:val="00F11E49"/>
    <w:rsid w:val="00F130D1"/>
    <w:rsid w:val="00F14F6B"/>
    <w:rsid w:val="00F17DEC"/>
    <w:rsid w:val="00F258A5"/>
    <w:rsid w:val="00F26034"/>
    <w:rsid w:val="00F26299"/>
    <w:rsid w:val="00F2635E"/>
    <w:rsid w:val="00F26ED0"/>
    <w:rsid w:val="00F27D1B"/>
    <w:rsid w:val="00F30083"/>
    <w:rsid w:val="00F31488"/>
    <w:rsid w:val="00F31669"/>
    <w:rsid w:val="00F32D95"/>
    <w:rsid w:val="00F33A76"/>
    <w:rsid w:val="00F3716D"/>
    <w:rsid w:val="00F4063F"/>
    <w:rsid w:val="00F4240B"/>
    <w:rsid w:val="00F429BF"/>
    <w:rsid w:val="00F436D5"/>
    <w:rsid w:val="00F44C9A"/>
    <w:rsid w:val="00F44CB0"/>
    <w:rsid w:val="00F46324"/>
    <w:rsid w:val="00F463DE"/>
    <w:rsid w:val="00F471C6"/>
    <w:rsid w:val="00F47AF0"/>
    <w:rsid w:val="00F47CEA"/>
    <w:rsid w:val="00F47ED0"/>
    <w:rsid w:val="00F50A6F"/>
    <w:rsid w:val="00F510C1"/>
    <w:rsid w:val="00F5210A"/>
    <w:rsid w:val="00F52BDB"/>
    <w:rsid w:val="00F53591"/>
    <w:rsid w:val="00F55DBA"/>
    <w:rsid w:val="00F570B9"/>
    <w:rsid w:val="00F573F5"/>
    <w:rsid w:val="00F60DA4"/>
    <w:rsid w:val="00F61242"/>
    <w:rsid w:val="00F63BE7"/>
    <w:rsid w:val="00F64A00"/>
    <w:rsid w:val="00F65F9B"/>
    <w:rsid w:val="00F711DA"/>
    <w:rsid w:val="00F715E3"/>
    <w:rsid w:val="00F7242C"/>
    <w:rsid w:val="00F7278B"/>
    <w:rsid w:val="00F72E35"/>
    <w:rsid w:val="00F730EE"/>
    <w:rsid w:val="00F7505F"/>
    <w:rsid w:val="00F754F3"/>
    <w:rsid w:val="00F7732E"/>
    <w:rsid w:val="00F77683"/>
    <w:rsid w:val="00F80EE3"/>
    <w:rsid w:val="00F82601"/>
    <w:rsid w:val="00F855F6"/>
    <w:rsid w:val="00F866C4"/>
    <w:rsid w:val="00F86925"/>
    <w:rsid w:val="00F86AF2"/>
    <w:rsid w:val="00F9104F"/>
    <w:rsid w:val="00F927FE"/>
    <w:rsid w:val="00F9285D"/>
    <w:rsid w:val="00F92F43"/>
    <w:rsid w:val="00F93FA4"/>
    <w:rsid w:val="00F949EF"/>
    <w:rsid w:val="00F9711C"/>
    <w:rsid w:val="00F97ABF"/>
    <w:rsid w:val="00F97F7E"/>
    <w:rsid w:val="00FA0A24"/>
    <w:rsid w:val="00FA1BA1"/>
    <w:rsid w:val="00FA1F12"/>
    <w:rsid w:val="00FA222C"/>
    <w:rsid w:val="00FA2332"/>
    <w:rsid w:val="00FA2D7B"/>
    <w:rsid w:val="00FA388C"/>
    <w:rsid w:val="00FA50E5"/>
    <w:rsid w:val="00FA5350"/>
    <w:rsid w:val="00FA6029"/>
    <w:rsid w:val="00FA6246"/>
    <w:rsid w:val="00FA6A79"/>
    <w:rsid w:val="00FA6B94"/>
    <w:rsid w:val="00FA76CB"/>
    <w:rsid w:val="00FA7915"/>
    <w:rsid w:val="00FA7B79"/>
    <w:rsid w:val="00FB0E2A"/>
    <w:rsid w:val="00FB189E"/>
    <w:rsid w:val="00FB24A0"/>
    <w:rsid w:val="00FB257E"/>
    <w:rsid w:val="00FB3227"/>
    <w:rsid w:val="00FB33FD"/>
    <w:rsid w:val="00FB3E36"/>
    <w:rsid w:val="00FB4FF9"/>
    <w:rsid w:val="00FB7D07"/>
    <w:rsid w:val="00FC04F0"/>
    <w:rsid w:val="00FC18FD"/>
    <w:rsid w:val="00FC2144"/>
    <w:rsid w:val="00FC343F"/>
    <w:rsid w:val="00FC4798"/>
    <w:rsid w:val="00FC4CD5"/>
    <w:rsid w:val="00FC50EC"/>
    <w:rsid w:val="00FC5AD0"/>
    <w:rsid w:val="00FC6115"/>
    <w:rsid w:val="00FD023D"/>
    <w:rsid w:val="00FD456B"/>
    <w:rsid w:val="00FD456F"/>
    <w:rsid w:val="00FD4634"/>
    <w:rsid w:val="00FD4A55"/>
    <w:rsid w:val="00FD54CC"/>
    <w:rsid w:val="00FD5A22"/>
    <w:rsid w:val="00FD5F3D"/>
    <w:rsid w:val="00FD7826"/>
    <w:rsid w:val="00FD7F4D"/>
    <w:rsid w:val="00FE12F1"/>
    <w:rsid w:val="00FE1B9F"/>
    <w:rsid w:val="00FE1F17"/>
    <w:rsid w:val="00FE28A5"/>
    <w:rsid w:val="00FE2CDC"/>
    <w:rsid w:val="00FE3679"/>
    <w:rsid w:val="00FE4A47"/>
    <w:rsid w:val="00FE52A1"/>
    <w:rsid w:val="00FE562C"/>
    <w:rsid w:val="00FE59A3"/>
    <w:rsid w:val="00FE5C7C"/>
    <w:rsid w:val="00FE6135"/>
    <w:rsid w:val="00FF0079"/>
    <w:rsid w:val="00FF10D8"/>
    <w:rsid w:val="00FF2661"/>
    <w:rsid w:val="00FF2D20"/>
    <w:rsid w:val="00FF36F7"/>
    <w:rsid w:val="00FF5101"/>
    <w:rsid w:val="00FF7201"/>
    <w:rsid w:val="031DDDD2"/>
    <w:rsid w:val="03C1BC76"/>
    <w:rsid w:val="052C627B"/>
    <w:rsid w:val="05DB30A0"/>
    <w:rsid w:val="06762EFB"/>
    <w:rsid w:val="083EB979"/>
    <w:rsid w:val="08BA6BEF"/>
    <w:rsid w:val="090FCD7F"/>
    <w:rsid w:val="0BEA7456"/>
    <w:rsid w:val="0BEDBA56"/>
    <w:rsid w:val="0CF90793"/>
    <w:rsid w:val="0D1958BF"/>
    <w:rsid w:val="0E8925B0"/>
    <w:rsid w:val="0F1919FF"/>
    <w:rsid w:val="0F25C8EB"/>
    <w:rsid w:val="0F5FB689"/>
    <w:rsid w:val="1029D4A3"/>
    <w:rsid w:val="118898B4"/>
    <w:rsid w:val="146BC18D"/>
    <w:rsid w:val="15A61327"/>
    <w:rsid w:val="174DA7A8"/>
    <w:rsid w:val="1770CE0F"/>
    <w:rsid w:val="189CAADF"/>
    <w:rsid w:val="19A5A83A"/>
    <w:rsid w:val="19CCCAD5"/>
    <w:rsid w:val="1C674EC8"/>
    <w:rsid w:val="1C81C122"/>
    <w:rsid w:val="1F7C1BFF"/>
    <w:rsid w:val="20A92C8F"/>
    <w:rsid w:val="231B5180"/>
    <w:rsid w:val="233B2E44"/>
    <w:rsid w:val="238924BE"/>
    <w:rsid w:val="254C4371"/>
    <w:rsid w:val="25F07786"/>
    <w:rsid w:val="25F3F3B6"/>
    <w:rsid w:val="26E91BF5"/>
    <w:rsid w:val="27CCC802"/>
    <w:rsid w:val="28AF8B87"/>
    <w:rsid w:val="28C97379"/>
    <w:rsid w:val="28DBE722"/>
    <w:rsid w:val="2961A90D"/>
    <w:rsid w:val="2AEDC394"/>
    <w:rsid w:val="2D283005"/>
    <w:rsid w:val="2D8F8202"/>
    <w:rsid w:val="2F5A1AB6"/>
    <w:rsid w:val="2F859195"/>
    <w:rsid w:val="30F4028C"/>
    <w:rsid w:val="31C48320"/>
    <w:rsid w:val="32E0ACE5"/>
    <w:rsid w:val="33165529"/>
    <w:rsid w:val="343F8BDB"/>
    <w:rsid w:val="34587499"/>
    <w:rsid w:val="34DB338B"/>
    <w:rsid w:val="35CDFA9C"/>
    <w:rsid w:val="36B2132B"/>
    <w:rsid w:val="36B9CD4C"/>
    <w:rsid w:val="37CB07B7"/>
    <w:rsid w:val="37F13386"/>
    <w:rsid w:val="38B4DDCC"/>
    <w:rsid w:val="3936BC94"/>
    <w:rsid w:val="3994837E"/>
    <w:rsid w:val="3A416B9D"/>
    <w:rsid w:val="3B499BDA"/>
    <w:rsid w:val="3C2586CB"/>
    <w:rsid w:val="3CE767B4"/>
    <w:rsid w:val="3E7E53B9"/>
    <w:rsid w:val="3E9852E1"/>
    <w:rsid w:val="3FCAA01C"/>
    <w:rsid w:val="413374BE"/>
    <w:rsid w:val="41A65A17"/>
    <w:rsid w:val="4218F192"/>
    <w:rsid w:val="42C8F31E"/>
    <w:rsid w:val="43E8E05A"/>
    <w:rsid w:val="43EE971E"/>
    <w:rsid w:val="44EEF359"/>
    <w:rsid w:val="4696857F"/>
    <w:rsid w:val="46B4F189"/>
    <w:rsid w:val="4767042F"/>
    <w:rsid w:val="47FE2167"/>
    <w:rsid w:val="4826A441"/>
    <w:rsid w:val="48BD982A"/>
    <w:rsid w:val="48BEEA56"/>
    <w:rsid w:val="48E6B1E5"/>
    <w:rsid w:val="4A1F9ABF"/>
    <w:rsid w:val="4A49A2B7"/>
    <w:rsid w:val="4A6EF94F"/>
    <w:rsid w:val="4ADAE8C1"/>
    <w:rsid w:val="4BDFF0AB"/>
    <w:rsid w:val="4D2DB453"/>
    <w:rsid w:val="4DA5C100"/>
    <w:rsid w:val="4E821E50"/>
    <w:rsid w:val="4F6FD228"/>
    <w:rsid w:val="51031465"/>
    <w:rsid w:val="51628005"/>
    <w:rsid w:val="5181C288"/>
    <w:rsid w:val="53AF4AA4"/>
    <w:rsid w:val="56369908"/>
    <w:rsid w:val="56B4A3FC"/>
    <w:rsid w:val="5B88B886"/>
    <w:rsid w:val="5C53EBFC"/>
    <w:rsid w:val="5D33E061"/>
    <w:rsid w:val="5D666842"/>
    <w:rsid w:val="5DBA9064"/>
    <w:rsid w:val="5F358F2A"/>
    <w:rsid w:val="612D35B9"/>
    <w:rsid w:val="61947826"/>
    <w:rsid w:val="648AD609"/>
    <w:rsid w:val="64FC7372"/>
    <w:rsid w:val="6505F763"/>
    <w:rsid w:val="65E3EE60"/>
    <w:rsid w:val="66524ECB"/>
    <w:rsid w:val="66D43DDA"/>
    <w:rsid w:val="670CF373"/>
    <w:rsid w:val="68974A4F"/>
    <w:rsid w:val="6B565A5A"/>
    <w:rsid w:val="6BC1CB80"/>
    <w:rsid w:val="6C3350B6"/>
    <w:rsid w:val="6C7A3AFA"/>
    <w:rsid w:val="6E93A86F"/>
    <w:rsid w:val="6F815180"/>
    <w:rsid w:val="70021AB0"/>
    <w:rsid w:val="716731D5"/>
    <w:rsid w:val="71DBAB29"/>
    <w:rsid w:val="7324044E"/>
    <w:rsid w:val="73F5AA0C"/>
    <w:rsid w:val="748FBEAF"/>
    <w:rsid w:val="75467BA7"/>
    <w:rsid w:val="76463034"/>
    <w:rsid w:val="78C37D03"/>
    <w:rsid w:val="793BAEAF"/>
    <w:rsid w:val="7A54AF95"/>
    <w:rsid w:val="7B4BA847"/>
    <w:rsid w:val="7BC90759"/>
    <w:rsid w:val="7D303DF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3F5B6"/>
  <w15:chartTrackingRefBased/>
  <w15:docId w15:val="{B676C035-B10D-4485-A7D4-7DEC7C1B0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840" w:themeColor="text1"/>
        <w:lang w:val="en-NZ" w:eastAsia="en-US" w:bidi="ar-SA"/>
      </w:rPr>
    </w:rPrDefault>
    <w:pPrDefault>
      <w:pPr>
        <w:spacing w:before="120" w:after="120" w:line="240" w:lineRule="atLeast"/>
        <w:ind w:left="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1B7"/>
    <w:pPr>
      <w:tabs>
        <w:tab w:val="left" w:pos="284"/>
        <w:tab w:val="left" w:pos="567"/>
        <w:tab w:val="left" w:pos="1276"/>
        <w:tab w:val="left" w:pos="1985"/>
      </w:tabs>
      <w:spacing w:before="0" w:after="0" w:line="300" w:lineRule="atLeast"/>
      <w:ind w:left="0"/>
    </w:pPr>
    <w:rPr>
      <w:rFonts w:eastAsia="Calibri"/>
      <w:color w:val="auto"/>
      <w:sz w:val="21"/>
      <w:szCs w:val="22"/>
    </w:rPr>
  </w:style>
  <w:style w:type="paragraph" w:styleId="Heading1">
    <w:name w:val="heading 1"/>
    <w:basedOn w:val="Normal"/>
    <w:next w:val="Normal"/>
    <w:link w:val="Heading1Char"/>
    <w:uiPriority w:val="2"/>
    <w:qFormat/>
    <w:rsid w:val="003772DE"/>
    <w:pPr>
      <w:keepNext/>
      <w:keepLines/>
      <w:numPr>
        <w:numId w:val="8"/>
      </w:numPr>
      <w:tabs>
        <w:tab w:val="clear" w:pos="284"/>
        <w:tab w:val="clear" w:pos="1276"/>
        <w:tab w:val="clear" w:pos="1985"/>
      </w:tabs>
      <w:ind w:right="567"/>
      <w:outlineLvl w:val="0"/>
    </w:pPr>
    <w:rPr>
      <w:rFonts w:ascii="Arial" w:eastAsiaTheme="majorEastAsia" w:hAnsi="Arial" w:cs="Arial"/>
      <w:sz w:val="32"/>
      <w:szCs w:val="24"/>
    </w:rPr>
  </w:style>
  <w:style w:type="paragraph" w:styleId="Heading2">
    <w:name w:val="heading 2"/>
    <w:basedOn w:val="Normal"/>
    <w:next w:val="H2TextIndent"/>
    <w:link w:val="Heading2Char"/>
    <w:uiPriority w:val="2"/>
    <w:unhideWhenUsed/>
    <w:qFormat/>
    <w:rsid w:val="003772DE"/>
    <w:pPr>
      <w:keepNext/>
      <w:keepLines/>
      <w:numPr>
        <w:ilvl w:val="1"/>
        <w:numId w:val="8"/>
      </w:numPr>
      <w:tabs>
        <w:tab w:val="clear" w:pos="284"/>
        <w:tab w:val="clear" w:pos="567"/>
        <w:tab w:val="clear" w:pos="1985"/>
      </w:tabs>
      <w:ind w:left="1276"/>
      <w:outlineLvl w:val="1"/>
    </w:pPr>
    <w:rPr>
      <w:rFonts w:ascii="Arial" w:eastAsiaTheme="majorEastAsia" w:hAnsi="Arial" w:cs="Arial"/>
      <w:b/>
      <w:sz w:val="24"/>
    </w:rPr>
  </w:style>
  <w:style w:type="paragraph" w:styleId="Heading3">
    <w:name w:val="heading 3"/>
    <w:basedOn w:val="TOCHeading"/>
    <w:next w:val="H3TextIndent"/>
    <w:link w:val="Heading3Char"/>
    <w:uiPriority w:val="3"/>
    <w:unhideWhenUsed/>
    <w:qFormat/>
    <w:rsid w:val="00231567"/>
    <w:pPr>
      <w:numPr>
        <w:ilvl w:val="2"/>
        <w:numId w:val="8"/>
      </w:numPr>
      <w:tabs>
        <w:tab w:val="clear" w:pos="567"/>
        <w:tab w:val="clear" w:pos="1276"/>
        <w:tab w:val="left" w:pos="1985"/>
      </w:tabs>
      <w:spacing w:line="276" w:lineRule="auto"/>
      <w:outlineLvl w:val="2"/>
    </w:pPr>
    <w:rPr>
      <w:b w:val="0"/>
      <w:bCs/>
      <w:sz w:val="21"/>
      <w:szCs w:val="28"/>
    </w:rPr>
  </w:style>
  <w:style w:type="paragraph" w:styleId="Heading4">
    <w:name w:val="heading 4"/>
    <w:basedOn w:val="Normal"/>
    <w:next w:val="Normal"/>
    <w:link w:val="Heading4Char"/>
    <w:uiPriority w:val="4"/>
    <w:unhideWhenUsed/>
    <w:qFormat/>
    <w:rsid w:val="003772DE"/>
    <w:pPr>
      <w:keepNext/>
      <w:tabs>
        <w:tab w:val="clear" w:pos="284"/>
        <w:tab w:val="clear" w:pos="567"/>
        <w:tab w:val="clear" w:pos="1276"/>
      </w:tabs>
      <w:outlineLvl w:val="3"/>
    </w:pPr>
    <w:rPr>
      <w:sz w:val="32"/>
      <w:szCs w:val="32"/>
      <w:lang w:eastAsia="en-NZ"/>
    </w:rPr>
  </w:style>
  <w:style w:type="paragraph" w:styleId="Heading5">
    <w:name w:val="heading 5"/>
    <w:basedOn w:val="Heading4"/>
    <w:next w:val="Normal"/>
    <w:link w:val="Heading5Char"/>
    <w:uiPriority w:val="4"/>
    <w:unhideWhenUsed/>
    <w:qFormat/>
    <w:rsid w:val="008F04B5"/>
    <w:pPr>
      <w:outlineLvl w:val="4"/>
    </w:pPr>
    <w:rPr>
      <w:b/>
      <w:bCs/>
      <w:sz w:val="24"/>
      <w:szCs w:val="24"/>
    </w:rPr>
  </w:style>
  <w:style w:type="paragraph" w:styleId="Heading6">
    <w:name w:val="heading 6"/>
    <w:basedOn w:val="Normal"/>
    <w:next w:val="Normal"/>
    <w:link w:val="Heading6Char"/>
    <w:uiPriority w:val="9"/>
    <w:semiHidden/>
    <w:rsid w:val="000C56AF"/>
    <w:pPr>
      <w:numPr>
        <w:ilvl w:val="5"/>
        <w:numId w:val="10"/>
      </w:numPr>
      <w:spacing w:before="600"/>
      <w:jc w:val="right"/>
      <w:outlineLvl w:val="5"/>
    </w:pPr>
    <w:rPr>
      <w:sz w:val="36"/>
      <w:szCs w:val="36"/>
    </w:rPr>
  </w:style>
  <w:style w:type="paragraph" w:styleId="Heading7">
    <w:name w:val="heading 7"/>
    <w:basedOn w:val="Normal"/>
    <w:next w:val="Normal"/>
    <w:link w:val="Heading7Char"/>
    <w:uiPriority w:val="9"/>
    <w:semiHidden/>
    <w:rsid w:val="00D125F0"/>
    <w:pPr>
      <w:keepNext/>
      <w:keepLines/>
      <w:numPr>
        <w:ilvl w:val="6"/>
        <w:numId w:val="10"/>
      </w:numPr>
      <w:spacing w:before="40"/>
      <w:outlineLvl w:val="6"/>
    </w:pPr>
    <w:rPr>
      <w:rFonts w:asciiTheme="majorHAnsi" w:eastAsiaTheme="majorEastAsia" w:hAnsiTheme="majorHAnsi" w:cstheme="majorBidi"/>
      <w:i/>
      <w:iCs/>
      <w:color w:val="00031F" w:themeColor="accent1" w:themeShade="7F"/>
    </w:rPr>
  </w:style>
  <w:style w:type="paragraph" w:styleId="Heading8">
    <w:name w:val="heading 8"/>
    <w:basedOn w:val="Normal"/>
    <w:next w:val="Normal"/>
    <w:link w:val="Heading8Char"/>
    <w:uiPriority w:val="9"/>
    <w:semiHidden/>
    <w:qFormat/>
    <w:rsid w:val="00D125F0"/>
    <w:pPr>
      <w:keepNext/>
      <w:keepLines/>
      <w:numPr>
        <w:ilvl w:val="7"/>
        <w:numId w:val="10"/>
      </w:numPr>
      <w:spacing w:before="40"/>
      <w:outlineLvl w:val="7"/>
    </w:pPr>
    <w:rPr>
      <w:rFonts w:asciiTheme="majorHAnsi" w:eastAsiaTheme="majorEastAsia" w:hAnsiTheme="majorHAnsi" w:cstheme="majorBidi"/>
      <w:color w:val="001084" w:themeColor="text1" w:themeTint="D8"/>
      <w:szCs w:val="21"/>
    </w:rPr>
  </w:style>
  <w:style w:type="paragraph" w:styleId="Heading9">
    <w:name w:val="heading 9"/>
    <w:basedOn w:val="Normal"/>
    <w:next w:val="Normal"/>
    <w:link w:val="Heading9Char"/>
    <w:uiPriority w:val="9"/>
    <w:semiHidden/>
    <w:qFormat/>
    <w:rsid w:val="00D125F0"/>
    <w:pPr>
      <w:keepNext/>
      <w:keepLines/>
      <w:numPr>
        <w:ilvl w:val="8"/>
        <w:numId w:val="10"/>
      </w:numPr>
      <w:spacing w:before="40"/>
      <w:outlineLvl w:val="8"/>
    </w:pPr>
    <w:rPr>
      <w:rFonts w:asciiTheme="majorHAnsi" w:eastAsiaTheme="majorEastAsia" w:hAnsiTheme="majorHAnsi" w:cstheme="majorBidi"/>
      <w:i/>
      <w:iCs/>
      <w:color w:val="001084"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3772DE"/>
    <w:rPr>
      <w:rFonts w:ascii="Arial" w:eastAsiaTheme="majorEastAsia" w:hAnsi="Arial" w:cs="Arial"/>
      <w:color w:val="auto"/>
      <w:sz w:val="32"/>
      <w:szCs w:val="24"/>
    </w:rPr>
  </w:style>
  <w:style w:type="paragraph" w:styleId="Title">
    <w:name w:val="Title"/>
    <w:basedOn w:val="Normal"/>
    <w:next w:val="Normal"/>
    <w:link w:val="TitleChar"/>
    <w:uiPriority w:val="10"/>
    <w:rsid w:val="00092172"/>
    <w:pPr>
      <w:tabs>
        <w:tab w:val="clear" w:pos="284"/>
        <w:tab w:val="clear" w:pos="567"/>
        <w:tab w:val="clear" w:pos="1276"/>
      </w:tabs>
      <w:spacing w:before="2400" w:after="300"/>
      <w:contextualSpacing/>
      <w:jc w:val="right"/>
    </w:pPr>
    <w:rPr>
      <w:rFonts w:ascii="Arial" w:eastAsiaTheme="majorEastAsia" w:hAnsi="Arial" w:cs="Arial"/>
      <w:b/>
      <w:spacing w:val="5"/>
      <w:kern w:val="28"/>
      <w:sz w:val="48"/>
      <w:szCs w:val="52"/>
    </w:rPr>
  </w:style>
  <w:style w:type="character" w:customStyle="1" w:styleId="TitleChar">
    <w:name w:val="Title Char"/>
    <w:basedOn w:val="DefaultParagraphFont"/>
    <w:link w:val="Title"/>
    <w:uiPriority w:val="10"/>
    <w:rsid w:val="00092172"/>
    <w:rPr>
      <w:rFonts w:ascii="Arial" w:eastAsiaTheme="majorEastAsia" w:hAnsi="Arial" w:cs="Arial"/>
      <w:b/>
      <w:color w:val="000840" w:themeColor="accent1"/>
      <w:spacing w:val="5"/>
      <w:kern w:val="28"/>
      <w:sz w:val="48"/>
      <w:szCs w:val="52"/>
    </w:rPr>
  </w:style>
  <w:style w:type="character" w:customStyle="1" w:styleId="Heading2Char">
    <w:name w:val="Heading 2 Char"/>
    <w:basedOn w:val="DefaultParagraphFont"/>
    <w:link w:val="Heading2"/>
    <w:uiPriority w:val="2"/>
    <w:rsid w:val="003772DE"/>
    <w:rPr>
      <w:rFonts w:ascii="Arial" w:eastAsiaTheme="majorEastAsia" w:hAnsi="Arial" w:cs="Arial"/>
      <w:b/>
      <w:color w:val="auto"/>
      <w:sz w:val="24"/>
      <w:szCs w:val="22"/>
    </w:rPr>
  </w:style>
  <w:style w:type="character" w:customStyle="1" w:styleId="Heading3Char">
    <w:name w:val="Heading 3 Char"/>
    <w:basedOn w:val="DefaultParagraphFont"/>
    <w:link w:val="Heading3"/>
    <w:uiPriority w:val="3"/>
    <w:rsid w:val="00231567"/>
    <w:rPr>
      <w:rFonts w:asciiTheme="majorHAnsi" w:eastAsiaTheme="majorEastAsia" w:hAnsiTheme="majorHAnsi" w:cs="Arial"/>
      <w:bCs/>
      <w:color w:val="auto"/>
      <w:sz w:val="21"/>
      <w:szCs w:val="28"/>
    </w:rPr>
  </w:style>
  <w:style w:type="paragraph" w:customStyle="1" w:styleId="Level1Indent">
    <w:name w:val="Level 1 Indent"/>
    <w:basedOn w:val="Normal"/>
    <w:link w:val="Level1IndentChar"/>
    <w:uiPriority w:val="4"/>
    <w:qFormat/>
    <w:rsid w:val="00231567"/>
    <w:pPr>
      <w:numPr>
        <w:numId w:val="6"/>
      </w:numPr>
      <w:tabs>
        <w:tab w:val="clear" w:pos="284"/>
        <w:tab w:val="clear" w:pos="567"/>
        <w:tab w:val="clear" w:pos="1276"/>
        <w:tab w:val="clear" w:pos="1985"/>
      </w:tabs>
    </w:pPr>
  </w:style>
  <w:style w:type="character" w:customStyle="1" w:styleId="Level1IndentChar">
    <w:name w:val="Level 1 Indent Char"/>
    <w:basedOn w:val="DefaultParagraphFont"/>
    <w:link w:val="Level1Indent"/>
    <w:uiPriority w:val="4"/>
    <w:rsid w:val="00231567"/>
    <w:rPr>
      <w:rFonts w:eastAsia="Calibri"/>
      <w:color w:val="auto"/>
      <w:sz w:val="21"/>
      <w:szCs w:val="22"/>
    </w:rPr>
  </w:style>
  <w:style w:type="paragraph" w:customStyle="1" w:styleId="Level2Indent">
    <w:name w:val="Level 2 Indent"/>
    <w:basedOn w:val="ListParagraph"/>
    <w:link w:val="Level2IndentChar"/>
    <w:uiPriority w:val="5"/>
    <w:qFormat/>
    <w:rsid w:val="00231567"/>
    <w:pPr>
      <w:numPr>
        <w:numId w:val="4"/>
      </w:numPr>
      <w:tabs>
        <w:tab w:val="clear" w:pos="284"/>
        <w:tab w:val="clear" w:pos="567"/>
        <w:tab w:val="clear" w:pos="1276"/>
        <w:tab w:val="clear" w:pos="1985"/>
      </w:tabs>
      <w:ind w:left="567" w:hanging="567"/>
    </w:pPr>
  </w:style>
  <w:style w:type="paragraph" w:styleId="ListParagraph">
    <w:name w:val="List Paragraph"/>
    <w:aliases w:val="Number body"/>
    <w:basedOn w:val="Normal"/>
    <w:link w:val="ListParagraphChar"/>
    <w:uiPriority w:val="34"/>
    <w:semiHidden/>
    <w:rsid w:val="00D569E2"/>
    <w:pPr>
      <w:ind w:left="1491" w:hanging="924"/>
      <w:jc w:val="left"/>
    </w:pPr>
  </w:style>
  <w:style w:type="character" w:customStyle="1" w:styleId="Level2IndentChar">
    <w:name w:val="Level 2 Indent Char"/>
    <w:basedOn w:val="DefaultParagraphFont"/>
    <w:link w:val="Level2Indent"/>
    <w:uiPriority w:val="5"/>
    <w:rsid w:val="00231567"/>
    <w:rPr>
      <w:rFonts w:eastAsia="Calibri"/>
      <w:color w:val="auto"/>
      <w:sz w:val="21"/>
      <w:szCs w:val="22"/>
    </w:rPr>
  </w:style>
  <w:style w:type="numbering" w:customStyle="1" w:styleId="StyleNumberedLeft063cmHanging063cm">
    <w:name w:val="Style Numbered Left:  0.63 cm Hanging:  0.63 cm"/>
    <w:basedOn w:val="NoList"/>
    <w:rsid w:val="009A46CB"/>
    <w:pPr>
      <w:numPr>
        <w:numId w:val="5"/>
      </w:numPr>
    </w:pPr>
  </w:style>
  <w:style w:type="character" w:styleId="Strong">
    <w:name w:val="Strong"/>
    <w:basedOn w:val="DefaultParagraphFont"/>
    <w:uiPriority w:val="22"/>
    <w:semiHidden/>
    <w:rsid w:val="003E200F"/>
    <w:rPr>
      <w:rFonts w:ascii="Verdana" w:hAnsi="Verdana"/>
      <w:b/>
      <w:bCs/>
      <w:i w:val="0"/>
      <w:color w:val="1F79FF" w:themeColor="text2"/>
      <w:spacing w:val="0"/>
      <w:sz w:val="24"/>
    </w:rPr>
  </w:style>
  <w:style w:type="character" w:styleId="PlaceholderText">
    <w:name w:val="Placeholder Text"/>
    <w:basedOn w:val="DefaultParagraphFont"/>
    <w:uiPriority w:val="99"/>
    <w:semiHidden/>
    <w:rsid w:val="00CE4016"/>
    <w:rPr>
      <w:color w:val="808080"/>
    </w:rPr>
  </w:style>
  <w:style w:type="paragraph" w:styleId="Header">
    <w:name w:val="header"/>
    <w:basedOn w:val="Normal"/>
    <w:link w:val="HeaderChar"/>
    <w:uiPriority w:val="99"/>
    <w:unhideWhenUsed/>
    <w:rsid w:val="00092172"/>
    <w:pPr>
      <w:tabs>
        <w:tab w:val="clear" w:pos="284"/>
        <w:tab w:val="clear" w:pos="567"/>
        <w:tab w:val="clear" w:pos="1276"/>
      </w:tabs>
      <w:jc w:val="left"/>
    </w:pPr>
    <w:rPr>
      <w:sz w:val="16"/>
      <w:szCs w:val="24"/>
    </w:rPr>
  </w:style>
  <w:style w:type="character" w:customStyle="1" w:styleId="HeaderChar">
    <w:name w:val="Header Char"/>
    <w:basedOn w:val="DefaultParagraphFont"/>
    <w:link w:val="Header"/>
    <w:uiPriority w:val="99"/>
    <w:rsid w:val="00092172"/>
    <w:rPr>
      <w:rFonts w:eastAsia="Calibri"/>
      <w:color w:val="000840" w:themeColor="accent1"/>
      <w:sz w:val="16"/>
      <w:szCs w:val="24"/>
    </w:rPr>
  </w:style>
  <w:style w:type="paragraph" w:styleId="Footer">
    <w:name w:val="footer"/>
    <w:basedOn w:val="Normal"/>
    <w:link w:val="FooterChar"/>
    <w:uiPriority w:val="99"/>
    <w:unhideWhenUsed/>
    <w:rsid w:val="00375499"/>
    <w:pPr>
      <w:tabs>
        <w:tab w:val="clear" w:pos="284"/>
        <w:tab w:val="clear" w:pos="567"/>
        <w:tab w:val="clear" w:pos="1276"/>
        <w:tab w:val="right" w:pos="9026"/>
      </w:tabs>
      <w:spacing w:after="120"/>
      <w:jc w:val="left"/>
    </w:pPr>
    <w:rPr>
      <w:rFonts w:cs="Times New Roman (Body CS)"/>
      <w:sz w:val="16"/>
    </w:rPr>
  </w:style>
  <w:style w:type="character" w:customStyle="1" w:styleId="FooterChar">
    <w:name w:val="Footer Char"/>
    <w:basedOn w:val="DefaultParagraphFont"/>
    <w:link w:val="Footer"/>
    <w:uiPriority w:val="99"/>
    <w:rsid w:val="00375499"/>
    <w:rPr>
      <w:rFonts w:eastAsia="Calibri" w:cs="Times New Roman (Body CS)"/>
      <w:color w:val="auto"/>
      <w:sz w:val="16"/>
      <w:szCs w:val="22"/>
    </w:rPr>
  </w:style>
  <w:style w:type="paragraph" w:styleId="BalloonText">
    <w:name w:val="Balloon Text"/>
    <w:basedOn w:val="Normal"/>
    <w:link w:val="BalloonTextChar"/>
    <w:uiPriority w:val="99"/>
    <w:semiHidden/>
    <w:unhideWhenUsed/>
    <w:rsid w:val="00A66D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6DD4"/>
    <w:rPr>
      <w:rFonts w:ascii="Segoe UI" w:hAnsi="Segoe UI" w:cs="Segoe UI"/>
      <w:sz w:val="18"/>
      <w:szCs w:val="18"/>
      <w:lang w:val="en-US" w:bidi="en-US"/>
    </w:rPr>
  </w:style>
  <w:style w:type="paragraph" w:styleId="Subtitle">
    <w:name w:val="Subtitle"/>
    <w:basedOn w:val="Heading6"/>
    <w:next w:val="Normal"/>
    <w:link w:val="SubtitleChar"/>
    <w:uiPriority w:val="11"/>
    <w:rsid w:val="00092172"/>
    <w:pPr>
      <w:numPr>
        <w:ilvl w:val="0"/>
        <w:numId w:val="0"/>
      </w:numPr>
      <w:tabs>
        <w:tab w:val="clear" w:pos="284"/>
        <w:tab w:val="clear" w:pos="567"/>
        <w:tab w:val="clear" w:pos="1276"/>
      </w:tabs>
    </w:pPr>
  </w:style>
  <w:style w:type="paragraph" w:styleId="CommentText">
    <w:name w:val="annotation text"/>
    <w:basedOn w:val="Normal"/>
    <w:link w:val="CommentTextChar"/>
    <w:unhideWhenUsed/>
    <w:rsid w:val="00F32D95"/>
  </w:style>
  <w:style w:type="character" w:customStyle="1" w:styleId="CommentTextChar">
    <w:name w:val="Comment Text Char"/>
    <w:basedOn w:val="DefaultParagraphFont"/>
    <w:link w:val="CommentText"/>
    <w:rsid w:val="00F32D95"/>
    <w:rPr>
      <w:rFonts w:eastAsia="Times New Roman" w:cs="Times New Roman"/>
    </w:rPr>
  </w:style>
  <w:style w:type="character" w:styleId="CommentReference">
    <w:name w:val="annotation reference"/>
    <w:basedOn w:val="DefaultParagraphFont"/>
    <w:uiPriority w:val="99"/>
    <w:semiHidden/>
    <w:rsid w:val="00F32D95"/>
    <w:rPr>
      <w:sz w:val="16"/>
      <w:szCs w:val="16"/>
    </w:rPr>
  </w:style>
  <w:style w:type="character" w:customStyle="1" w:styleId="Heading4Char">
    <w:name w:val="Heading 4 Char"/>
    <w:basedOn w:val="DefaultParagraphFont"/>
    <w:link w:val="Heading4"/>
    <w:uiPriority w:val="4"/>
    <w:rsid w:val="003772DE"/>
    <w:rPr>
      <w:rFonts w:eastAsia="Calibri"/>
      <w:color w:val="auto"/>
      <w:sz w:val="32"/>
      <w:szCs w:val="32"/>
      <w:lang w:eastAsia="en-NZ"/>
    </w:rPr>
  </w:style>
  <w:style w:type="numbering" w:customStyle="1" w:styleId="Number2">
    <w:name w:val="Number 2"/>
    <w:basedOn w:val="StyleNumberedLeft063cmHanging063cm"/>
    <w:uiPriority w:val="99"/>
    <w:rsid w:val="0098591F"/>
    <w:pPr>
      <w:numPr>
        <w:numId w:val="7"/>
      </w:numPr>
    </w:pPr>
  </w:style>
  <w:style w:type="character" w:customStyle="1" w:styleId="Heading5Char">
    <w:name w:val="Heading 5 Char"/>
    <w:basedOn w:val="DefaultParagraphFont"/>
    <w:link w:val="Heading5"/>
    <w:uiPriority w:val="4"/>
    <w:rsid w:val="008F04B5"/>
    <w:rPr>
      <w:rFonts w:eastAsia="Calibri"/>
      <w:b/>
      <w:bCs/>
      <w:color w:val="000840" w:themeColor="accent1"/>
      <w:sz w:val="24"/>
      <w:szCs w:val="24"/>
      <w:lang w:eastAsia="en-NZ"/>
    </w:rPr>
  </w:style>
  <w:style w:type="paragraph" w:styleId="List">
    <w:name w:val="List"/>
    <w:basedOn w:val="Normal"/>
    <w:link w:val="ListChar"/>
    <w:uiPriority w:val="99"/>
    <w:semiHidden/>
    <w:unhideWhenUsed/>
    <w:rsid w:val="0098591F"/>
    <w:pPr>
      <w:ind w:left="283" w:hanging="283"/>
      <w:contextualSpacing/>
    </w:pPr>
  </w:style>
  <w:style w:type="character" w:customStyle="1" w:styleId="Heading6Char">
    <w:name w:val="Heading 6 Char"/>
    <w:basedOn w:val="DefaultParagraphFont"/>
    <w:link w:val="Heading6"/>
    <w:uiPriority w:val="9"/>
    <w:semiHidden/>
    <w:rsid w:val="00285A79"/>
    <w:rPr>
      <w:rFonts w:eastAsia="Calibri"/>
      <w:color w:val="auto"/>
      <w:sz w:val="36"/>
      <w:szCs w:val="36"/>
    </w:rPr>
  </w:style>
  <w:style w:type="character" w:customStyle="1" w:styleId="Heading7Char">
    <w:name w:val="Heading 7 Char"/>
    <w:basedOn w:val="DefaultParagraphFont"/>
    <w:link w:val="Heading7"/>
    <w:uiPriority w:val="9"/>
    <w:semiHidden/>
    <w:rsid w:val="00285A79"/>
    <w:rPr>
      <w:rFonts w:asciiTheme="majorHAnsi" w:eastAsiaTheme="majorEastAsia" w:hAnsiTheme="majorHAnsi" w:cstheme="majorBidi"/>
      <w:i/>
      <w:iCs/>
      <w:color w:val="00031F" w:themeColor="accent1" w:themeShade="7F"/>
      <w:sz w:val="21"/>
      <w:szCs w:val="22"/>
    </w:rPr>
  </w:style>
  <w:style w:type="character" w:customStyle="1" w:styleId="Heading8Char">
    <w:name w:val="Heading 8 Char"/>
    <w:basedOn w:val="DefaultParagraphFont"/>
    <w:link w:val="Heading8"/>
    <w:uiPriority w:val="9"/>
    <w:semiHidden/>
    <w:rsid w:val="00285A79"/>
    <w:rPr>
      <w:rFonts w:asciiTheme="majorHAnsi" w:eastAsiaTheme="majorEastAsia" w:hAnsiTheme="majorHAnsi" w:cstheme="majorBidi"/>
      <w:color w:val="001084" w:themeColor="text1" w:themeTint="D8"/>
      <w:sz w:val="21"/>
      <w:szCs w:val="21"/>
    </w:rPr>
  </w:style>
  <w:style w:type="character" w:customStyle="1" w:styleId="Heading9Char">
    <w:name w:val="Heading 9 Char"/>
    <w:basedOn w:val="DefaultParagraphFont"/>
    <w:link w:val="Heading9"/>
    <w:uiPriority w:val="9"/>
    <w:semiHidden/>
    <w:rsid w:val="00285A79"/>
    <w:rPr>
      <w:rFonts w:asciiTheme="majorHAnsi" w:eastAsiaTheme="majorEastAsia" w:hAnsiTheme="majorHAnsi" w:cstheme="majorBidi"/>
      <w:i/>
      <w:iCs/>
      <w:color w:val="001084" w:themeColor="text1" w:themeTint="D8"/>
      <w:sz w:val="21"/>
      <w:szCs w:val="21"/>
    </w:rPr>
  </w:style>
  <w:style w:type="table" w:styleId="ListTable4-Accent1">
    <w:name w:val="List Table 4 Accent 1"/>
    <w:basedOn w:val="TableNormal"/>
    <w:uiPriority w:val="49"/>
    <w:rsid w:val="006F69E1"/>
    <w:tblPr>
      <w:tblStyleRowBandSize w:val="1"/>
      <w:tblStyleColBandSize w:val="1"/>
      <w:tblBorders>
        <w:top w:val="single" w:sz="4" w:space="0" w:color="001DF2" w:themeColor="accent1" w:themeTint="99"/>
        <w:left w:val="single" w:sz="4" w:space="0" w:color="001DF2" w:themeColor="accent1" w:themeTint="99"/>
        <w:bottom w:val="single" w:sz="4" w:space="0" w:color="001DF2" w:themeColor="accent1" w:themeTint="99"/>
        <w:right w:val="single" w:sz="4" w:space="0" w:color="001DF2" w:themeColor="accent1" w:themeTint="99"/>
        <w:insideH w:val="single" w:sz="4" w:space="0" w:color="001DF2" w:themeColor="accent1" w:themeTint="99"/>
      </w:tblBorders>
    </w:tblPr>
    <w:tblStylePr w:type="firstRow">
      <w:rPr>
        <w:b/>
        <w:bCs/>
        <w:color w:val="FFFFFF" w:themeColor="background1"/>
      </w:rPr>
      <w:tblPr/>
      <w:tcPr>
        <w:tcBorders>
          <w:top w:val="single" w:sz="4" w:space="0" w:color="000840" w:themeColor="accent1"/>
          <w:left w:val="single" w:sz="4" w:space="0" w:color="000840" w:themeColor="accent1"/>
          <w:bottom w:val="single" w:sz="4" w:space="0" w:color="000840" w:themeColor="accent1"/>
          <w:right w:val="single" w:sz="4" w:space="0" w:color="000840" w:themeColor="accent1"/>
          <w:insideH w:val="nil"/>
        </w:tcBorders>
        <w:shd w:val="clear" w:color="auto" w:fill="000840" w:themeFill="accent1"/>
      </w:tcPr>
    </w:tblStylePr>
    <w:tblStylePr w:type="lastRow">
      <w:rPr>
        <w:b/>
        <w:bCs/>
      </w:rPr>
      <w:tblPr/>
      <w:tcPr>
        <w:tcBorders>
          <w:top w:val="double" w:sz="4" w:space="0" w:color="001DF2" w:themeColor="accent1" w:themeTint="99"/>
        </w:tcBorders>
      </w:tcPr>
    </w:tblStylePr>
    <w:tblStylePr w:type="firstCol">
      <w:rPr>
        <w:b/>
        <w:bCs/>
      </w:rPr>
    </w:tblStylePr>
    <w:tblStylePr w:type="lastCol">
      <w:rPr>
        <w:b/>
        <w:bCs/>
      </w:rPr>
    </w:tblStylePr>
    <w:tblStylePr w:type="band1Vert">
      <w:tblPr/>
      <w:tcPr>
        <w:shd w:val="clear" w:color="auto" w:fill="A5B0FF" w:themeFill="accent1" w:themeFillTint="33"/>
      </w:tcPr>
    </w:tblStylePr>
    <w:tblStylePr w:type="band1Horz">
      <w:tblPr/>
      <w:tcPr>
        <w:shd w:val="clear" w:color="auto" w:fill="A5B0FF" w:themeFill="accent1" w:themeFillTint="33"/>
      </w:tcPr>
    </w:tblStylePr>
  </w:style>
  <w:style w:type="character" w:customStyle="1" w:styleId="ListChar">
    <w:name w:val="List Char"/>
    <w:basedOn w:val="DefaultParagraphFont"/>
    <w:link w:val="List"/>
    <w:uiPriority w:val="99"/>
    <w:semiHidden/>
    <w:rsid w:val="00D125F0"/>
    <w:rPr>
      <w:rFonts w:eastAsia="Times New Roman" w:cs="Times New Roman"/>
    </w:rPr>
  </w:style>
  <w:style w:type="character" w:customStyle="1" w:styleId="ListParagraphChar">
    <w:name w:val="List Paragraph Char"/>
    <w:aliases w:val="Number body Char"/>
    <w:basedOn w:val="ListChar"/>
    <w:link w:val="ListParagraph"/>
    <w:uiPriority w:val="34"/>
    <w:semiHidden/>
    <w:rsid w:val="00285A79"/>
    <w:rPr>
      <w:rFonts w:eastAsia="Calibri" w:cs="Times New Roman"/>
      <w:color w:val="000840" w:themeColor="accent1"/>
      <w:szCs w:val="22"/>
      <w:lang w:val="en-US"/>
    </w:rPr>
  </w:style>
  <w:style w:type="table" w:styleId="GridTable1Light-Accent1">
    <w:name w:val="Grid Table 1 Light Accent 1"/>
    <w:basedOn w:val="TableNormal"/>
    <w:uiPriority w:val="46"/>
    <w:rsid w:val="009875AD"/>
    <w:tblPr>
      <w:tblStyleRowBandSize w:val="1"/>
      <w:tblStyleColBandSize w:val="1"/>
      <w:tblBorders>
        <w:top w:val="single" w:sz="4" w:space="0" w:color="4C62FF" w:themeColor="accent1" w:themeTint="66"/>
        <w:left w:val="single" w:sz="4" w:space="0" w:color="4C62FF" w:themeColor="accent1" w:themeTint="66"/>
        <w:bottom w:val="single" w:sz="4" w:space="0" w:color="4C62FF" w:themeColor="accent1" w:themeTint="66"/>
        <w:right w:val="single" w:sz="4" w:space="0" w:color="4C62FF" w:themeColor="accent1" w:themeTint="66"/>
        <w:insideH w:val="single" w:sz="4" w:space="0" w:color="4C62FF" w:themeColor="accent1" w:themeTint="66"/>
        <w:insideV w:val="single" w:sz="4" w:space="0" w:color="4C62FF" w:themeColor="accent1" w:themeTint="66"/>
      </w:tblBorders>
    </w:tblPr>
    <w:tblStylePr w:type="firstRow">
      <w:rPr>
        <w:b/>
        <w:bCs/>
      </w:rPr>
      <w:tblPr/>
      <w:tcPr>
        <w:tcBorders>
          <w:bottom w:val="single" w:sz="12" w:space="0" w:color="001DF2" w:themeColor="accent1" w:themeTint="99"/>
        </w:tcBorders>
      </w:tcPr>
    </w:tblStylePr>
    <w:tblStylePr w:type="lastRow">
      <w:rPr>
        <w:b/>
        <w:bCs/>
      </w:rPr>
      <w:tblPr/>
      <w:tcPr>
        <w:tcBorders>
          <w:top w:val="double" w:sz="2" w:space="0" w:color="001DF2" w:themeColor="accent1" w:themeTint="99"/>
        </w:tcBorders>
      </w:tcPr>
    </w:tblStylePr>
    <w:tblStylePr w:type="firstCol">
      <w:rPr>
        <w:b/>
        <w:bCs/>
      </w:rPr>
    </w:tblStylePr>
    <w:tblStylePr w:type="lastCol">
      <w:rPr>
        <w:b/>
        <w:bCs/>
      </w:rPr>
    </w:tblStylePr>
  </w:style>
  <w:style w:type="table" w:styleId="TableSimple3">
    <w:name w:val="Table Simple 3"/>
    <w:basedOn w:val="TableNormal"/>
    <w:uiPriority w:val="99"/>
    <w:semiHidden/>
    <w:unhideWhenUsed/>
    <w:rsid w:val="00525530"/>
    <w:pPr>
      <w:suppressAutoHyphens/>
      <w:spacing w:before="240" w:line="280" w:lineRule="atLeast"/>
      <w:ind w:left="0" w:right="17"/>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ListTable1Light-Accent3">
    <w:name w:val="List Table 1 Light Accent 3"/>
    <w:basedOn w:val="TableNormal"/>
    <w:uiPriority w:val="46"/>
    <w:rsid w:val="009875AD"/>
    <w:tblPr>
      <w:tblStyleRowBandSize w:val="1"/>
      <w:tblStyleColBandSize w:val="1"/>
    </w:tblPr>
    <w:tblStylePr w:type="firstRow">
      <w:rPr>
        <w:b/>
        <w:bCs/>
      </w:rPr>
      <w:tblPr/>
      <w:tcPr>
        <w:tcBorders>
          <w:bottom w:val="single" w:sz="4" w:space="0" w:color="78AEFF" w:themeColor="accent3" w:themeTint="99"/>
        </w:tcBorders>
      </w:tcPr>
    </w:tblStylePr>
    <w:tblStylePr w:type="lastRow">
      <w:rPr>
        <w:b/>
        <w:bCs/>
      </w:rPr>
      <w:tblPr/>
      <w:tcPr>
        <w:tcBorders>
          <w:top w:val="single" w:sz="4" w:space="0" w:color="78AEFF" w:themeColor="accent3" w:themeTint="99"/>
        </w:tcBorders>
      </w:tcPr>
    </w:tblStylePr>
    <w:tblStylePr w:type="firstCol">
      <w:rPr>
        <w:b/>
        <w:bCs/>
      </w:rPr>
    </w:tblStylePr>
    <w:tblStylePr w:type="lastCol">
      <w:rPr>
        <w:b/>
        <w:bCs/>
      </w:rPr>
    </w:tblStylePr>
    <w:tblStylePr w:type="band1Vert">
      <w:tblPr/>
      <w:tcPr>
        <w:shd w:val="clear" w:color="auto" w:fill="D2E4FF" w:themeFill="accent3" w:themeFillTint="33"/>
      </w:tcPr>
    </w:tblStylePr>
    <w:tblStylePr w:type="band1Horz">
      <w:tblPr/>
      <w:tcPr>
        <w:shd w:val="clear" w:color="auto" w:fill="D2E4FF" w:themeFill="accent3" w:themeFillTint="33"/>
      </w:tcPr>
    </w:tblStylePr>
  </w:style>
  <w:style w:type="character" w:customStyle="1" w:styleId="SubtitleChar">
    <w:name w:val="Subtitle Char"/>
    <w:basedOn w:val="DefaultParagraphFont"/>
    <w:link w:val="Subtitle"/>
    <w:uiPriority w:val="11"/>
    <w:rsid w:val="00092172"/>
    <w:rPr>
      <w:rFonts w:eastAsia="Calibri"/>
      <w:color w:val="000840" w:themeColor="accent1"/>
      <w:sz w:val="36"/>
      <w:szCs w:val="36"/>
    </w:rPr>
  </w:style>
  <w:style w:type="character" w:styleId="Emphasis">
    <w:name w:val="Emphasis"/>
    <w:basedOn w:val="DefaultParagraphFont"/>
    <w:uiPriority w:val="20"/>
    <w:semiHidden/>
    <w:rsid w:val="000463AA"/>
    <w:rPr>
      <w:i/>
      <w:iCs/>
    </w:rPr>
  </w:style>
  <w:style w:type="paragraph" w:customStyle="1" w:styleId="Instructions">
    <w:name w:val="Instructions"/>
    <w:basedOn w:val="Normal"/>
    <w:link w:val="InstructionsChar"/>
    <w:uiPriority w:val="7"/>
    <w:qFormat/>
    <w:rsid w:val="003772DE"/>
    <w:pPr>
      <w:keepNext/>
    </w:pPr>
    <w:rPr>
      <w:i/>
      <w:sz w:val="16"/>
    </w:rPr>
  </w:style>
  <w:style w:type="character" w:customStyle="1" w:styleId="InstructionsChar">
    <w:name w:val="Instructions Char"/>
    <w:basedOn w:val="DefaultParagraphFont"/>
    <w:link w:val="Instructions"/>
    <w:uiPriority w:val="7"/>
    <w:rsid w:val="003772DE"/>
    <w:rPr>
      <w:rFonts w:eastAsia="Calibri"/>
      <w:i/>
      <w:color w:val="auto"/>
      <w:sz w:val="16"/>
      <w:szCs w:val="22"/>
    </w:rPr>
  </w:style>
  <w:style w:type="table" w:customStyle="1" w:styleId="MediumList1-Accent11">
    <w:name w:val="Medium List 1 - Accent 11"/>
    <w:uiPriority w:val="99"/>
    <w:rsid w:val="00510517"/>
    <w:pPr>
      <w:ind w:left="0"/>
    </w:pPr>
    <w:rPr>
      <w:rFonts w:ascii="Calibri" w:eastAsia="Calibri" w:hAnsi="Calibri" w:cs="Times New Roman"/>
      <w:color w:val="000000"/>
      <w:lang w:eastAsia="en-NZ"/>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263A65"/>
    <w:pPr>
      <w:spacing w:after="200"/>
    </w:pPr>
    <w:rPr>
      <w:i/>
      <w:iCs/>
      <w:color w:val="1F79FF" w:themeColor="text2"/>
      <w:sz w:val="18"/>
      <w:szCs w:val="18"/>
    </w:rPr>
  </w:style>
  <w:style w:type="paragraph" w:styleId="TOCHeading">
    <w:name w:val="TOC Heading"/>
    <w:basedOn w:val="Heading1"/>
    <w:next w:val="Normal"/>
    <w:uiPriority w:val="39"/>
    <w:unhideWhenUsed/>
    <w:rsid w:val="004D39A7"/>
    <w:pPr>
      <w:numPr>
        <w:numId w:val="0"/>
      </w:numPr>
      <w:spacing w:line="259" w:lineRule="auto"/>
      <w:ind w:right="0"/>
      <w:outlineLvl w:val="9"/>
    </w:pPr>
    <w:rPr>
      <w:rFonts w:asciiTheme="majorHAnsi" w:hAnsiTheme="majorHAnsi"/>
      <w:b/>
      <w:sz w:val="36"/>
      <w:szCs w:val="36"/>
    </w:rPr>
  </w:style>
  <w:style w:type="paragraph" w:styleId="TOC1">
    <w:name w:val="toc 1"/>
    <w:basedOn w:val="Normal"/>
    <w:next w:val="Normal"/>
    <w:autoRedefine/>
    <w:uiPriority w:val="39"/>
    <w:unhideWhenUsed/>
    <w:rsid w:val="003A4815"/>
    <w:pPr>
      <w:tabs>
        <w:tab w:val="clear" w:pos="284"/>
        <w:tab w:val="clear" w:pos="1276"/>
        <w:tab w:val="clear" w:pos="1985"/>
        <w:tab w:val="right" w:leader="dot" w:pos="9060"/>
      </w:tabs>
      <w:spacing w:before="80" w:after="80"/>
    </w:pPr>
  </w:style>
  <w:style w:type="paragraph" w:styleId="TOC2">
    <w:name w:val="toc 2"/>
    <w:basedOn w:val="Normal"/>
    <w:next w:val="Normal"/>
    <w:autoRedefine/>
    <w:uiPriority w:val="39"/>
    <w:unhideWhenUsed/>
    <w:rsid w:val="00FE3679"/>
    <w:pPr>
      <w:tabs>
        <w:tab w:val="clear" w:pos="284"/>
        <w:tab w:val="clear" w:pos="567"/>
        <w:tab w:val="clear" w:pos="1276"/>
        <w:tab w:val="left" w:pos="1134"/>
        <w:tab w:val="right" w:leader="dot" w:pos="9060"/>
      </w:tabs>
      <w:spacing w:before="80" w:after="80"/>
      <w:ind w:left="567"/>
    </w:pPr>
  </w:style>
  <w:style w:type="paragraph" w:styleId="TOC3">
    <w:name w:val="toc 3"/>
    <w:basedOn w:val="Normal"/>
    <w:next w:val="Normal"/>
    <w:autoRedefine/>
    <w:uiPriority w:val="39"/>
    <w:unhideWhenUsed/>
    <w:rsid w:val="00FE3679"/>
    <w:pPr>
      <w:tabs>
        <w:tab w:val="clear" w:pos="284"/>
        <w:tab w:val="clear" w:pos="567"/>
        <w:tab w:val="clear" w:pos="1276"/>
        <w:tab w:val="left" w:pos="1843"/>
        <w:tab w:val="right" w:leader="dot" w:pos="9060"/>
      </w:tabs>
      <w:spacing w:before="80" w:after="80"/>
      <w:ind w:left="1134"/>
    </w:pPr>
  </w:style>
  <w:style w:type="character" w:styleId="Hyperlink">
    <w:name w:val="Hyperlink"/>
    <w:basedOn w:val="DefaultParagraphFont"/>
    <w:uiPriority w:val="99"/>
    <w:unhideWhenUsed/>
    <w:rsid w:val="009E4872"/>
    <w:rPr>
      <w:color w:val="1F79FF" w:themeColor="hyperlink"/>
      <w:u w:val="single"/>
    </w:rPr>
  </w:style>
  <w:style w:type="paragraph" w:styleId="CommentSubject">
    <w:name w:val="annotation subject"/>
    <w:basedOn w:val="CommentText"/>
    <w:next w:val="CommentText"/>
    <w:link w:val="CommentSubjectChar"/>
    <w:uiPriority w:val="99"/>
    <w:semiHidden/>
    <w:unhideWhenUsed/>
    <w:rsid w:val="00C45435"/>
    <w:rPr>
      <w:b/>
      <w:bCs/>
    </w:rPr>
  </w:style>
  <w:style w:type="character" w:customStyle="1" w:styleId="CommentSubjectChar">
    <w:name w:val="Comment Subject Char"/>
    <w:basedOn w:val="CommentTextChar"/>
    <w:link w:val="CommentSubject"/>
    <w:uiPriority w:val="99"/>
    <w:semiHidden/>
    <w:rsid w:val="00C45435"/>
    <w:rPr>
      <w:rFonts w:eastAsia="Times New Roman" w:cs="Times New Roman"/>
      <w:b/>
      <w:bCs/>
    </w:rPr>
  </w:style>
  <w:style w:type="paragraph" w:customStyle="1" w:styleId="Part">
    <w:name w:val="Part"/>
    <w:basedOn w:val="Heading1"/>
    <w:link w:val="PartChar"/>
    <w:uiPriority w:val="6"/>
    <w:qFormat/>
    <w:rsid w:val="008F04B5"/>
    <w:pPr>
      <w:numPr>
        <w:numId w:val="9"/>
      </w:numPr>
      <w:tabs>
        <w:tab w:val="clear" w:pos="567"/>
      </w:tabs>
      <w:ind w:left="1276" w:hanging="1276"/>
    </w:pPr>
    <w:rPr>
      <w:rFonts w:asciiTheme="majorHAnsi" w:hAnsiTheme="majorHAnsi"/>
      <w:b/>
      <w:bCs/>
      <w:lang w:eastAsia="en-NZ"/>
    </w:rPr>
  </w:style>
  <w:style w:type="character" w:customStyle="1" w:styleId="PartChar">
    <w:name w:val="Part Char"/>
    <w:basedOn w:val="Heading1Char"/>
    <w:link w:val="Part"/>
    <w:uiPriority w:val="6"/>
    <w:rsid w:val="008F04B5"/>
    <w:rPr>
      <w:rFonts w:asciiTheme="majorHAnsi" w:eastAsiaTheme="majorEastAsia" w:hAnsiTheme="majorHAnsi" w:cs="Arial"/>
      <w:b/>
      <w:bCs/>
      <w:color w:val="auto"/>
      <w:sz w:val="32"/>
      <w:szCs w:val="24"/>
      <w:lang w:eastAsia="en-NZ"/>
    </w:rPr>
  </w:style>
  <w:style w:type="paragraph" w:styleId="Quote">
    <w:name w:val="Quote"/>
    <w:basedOn w:val="Normal"/>
    <w:next w:val="Normal"/>
    <w:link w:val="QuoteChar"/>
    <w:uiPriority w:val="29"/>
    <w:semiHidden/>
    <w:rsid w:val="008750EE"/>
    <w:pPr>
      <w:spacing w:before="200" w:after="160"/>
      <w:ind w:left="864" w:right="864"/>
      <w:jc w:val="center"/>
    </w:pPr>
    <w:rPr>
      <w:i/>
      <w:iCs/>
      <w:color w:val="0015AF" w:themeColor="text1" w:themeTint="BF"/>
    </w:rPr>
  </w:style>
  <w:style w:type="character" w:customStyle="1" w:styleId="QuoteChar">
    <w:name w:val="Quote Char"/>
    <w:basedOn w:val="DefaultParagraphFont"/>
    <w:link w:val="Quote"/>
    <w:uiPriority w:val="29"/>
    <w:semiHidden/>
    <w:rsid w:val="00285A79"/>
    <w:rPr>
      <w:rFonts w:eastAsia="Calibri"/>
      <w:i/>
      <w:iCs/>
      <w:color w:val="0015AF" w:themeColor="text1" w:themeTint="BF"/>
      <w:szCs w:val="22"/>
      <w:lang w:val="en-US"/>
    </w:rPr>
  </w:style>
  <w:style w:type="paragraph" w:styleId="Revision">
    <w:name w:val="Revision"/>
    <w:hidden/>
    <w:uiPriority w:val="99"/>
    <w:semiHidden/>
    <w:rsid w:val="00614601"/>
    <w:pPr>
      <w:ind w:left="0"/>
    </w:pPr>
    <w:rPr>
      <w:rFonts w:eastAsia="Times New Roman" w:cs="Times New Roman"/>
    </w:rPr>
  </w:style>
  <w:style w:type="table" w:styleId="GridTable4-Accent5">
    <w:name w:val="Grid Table 4 Accent 5"/>
    <w:basedOn w:val="TableNormal"/>
    <w:uiPriority w:val="49"/>
    <w:rsid w:val="009B6FE2"/>
    <w:tblPr>
      <w:tblStyleRowBandSize w:val="1"/>
      <w:tblStyleColBandSize w:val="1"/>
      <w:tblBorders>
        <w:top w:val="single" w:sz="4" w:space="0" w:color="EF9286" w:themeColor="accent5" w:themeTint="99"/>
        <w:left w:val="single" w:sz="4" w:space="0" w:color="EF9286" w:themeColor="accent5" w:themeTint="99"/>
        <w:bottom w:val="single" w:sz="4" w:space="0" w:color="EF9286" w:themeColor="accent5" w:themeTint="99"/>
        <w:right w:val="single" w:sz="4" w:space="0" w:color="EF9286" w:themeColor="accent5" w:themeTint="99"/>
        <w:insideH w:val="single" w:sz="4" w:space="0" w:color="EF9286" w:themeColor="accent5" w:themeTint="99"/>
        <w:insideV w:val="single" w:sz="4" w:space="0" w:color="EF9286" w:themeColor="accent5" w:themeTint="99"/>
      </w:tblBorders>
    </w:tblPr>
    <w:tblStylePr w:type="firstRow">
      <w:rPr>
        <w:b/>
        <w:bCs/>
        <w:color w:val="FFFFFF" w:themeColor="background1"/>
      </w:rPr>
      <w:tblPr/>
      <w:tcPr>
        <w:tcBorders>
          <w:top w:val="single" w:sz="4" w:space="0" w:color="E54B37" w:themeColor="accent5"/>
          <w:left w:val="single" w:sz="4" w:space="0" w:color="E54B37" w:themeColor="accent5"/>
          <w:bottom w:val="single" w:sz="4" w:space="0" w:color="E54B37" w:themeColor="accent5"/>
          <w:right w:val="single" w:sz="4" w:space="0" w:color="E54B37" w:themeColor="accent5"/>
          <w:insideH w:val="nil"/>
          <w:insideV w:val="nil"/>
        </w:tcBorders>
        <w:shd w:val="clear" w:color="auto" w:fill="E54B37" w:themeFill="accent5"/>
      </w:tcPr>
    </w:tblStylePr>
    <w:tblStylePr w:type="lastRow">
      <w:rPr>
        <w:b/>
        <w:bCs/>
      </w:rPr>
      <w:tblPr/>
      <w:tcPr>
        <w:tcBorders>
          <w:top w:val="double" w:sz="4" w:space="0" w:color="E54B37" w:themeColor="accent5"/>
        </w:tcBorders>
      </w:tcPr>
    </w:tblStylePr>
    <w:tblStylePr w:type="firstCol">
      <w:rPr>
        <w:b/>
        <w:bCs/>
      </w:rPr>
    </w:tblStylePr>
    <w:tblStylePr w:type="lastCol">
      <w:rPr>
        <w:b/>
        <w:bCs/>
      </w:rPr>
    </w:tblStylePr>
    <w:tblStylePr w:type="band1Vert">
      <w:tblPr/>
      <w:tcPr>
        <w:shd w:val="clear" w:color="auto" w:fill="F9DAD6" w:themeFill="accent5" w:themeFillTint="33"/>
      </w:tcPr>
    </w:tblStylePr>
    <w:tblStylePr w:type="band1Horz">
      <w:tblPr/>
      <w:tcPr>
        <w:shd w:val="clear" w:color="auto" w:fill="F9DAD6" w:themeFill="accent5" w:themeFillTint="33"/>
      </w:tcPr>
    </w:tblStylePr>
  </w:style>
  <w:style w:type="table" w:styleId="GridTable4-Accent3">
    <w:name w:val="Grid Table 4 Accent 3"/>
    <w:basedOn w:val="TableNormal"/>
    <w:uiPriority w:val="49"/>
    <w:rsid w:val="00AA134B"/>
    <w:rPr>
      <w:color w:val="000840" w:themeColor="accent1"/>
    </w:rPr>
    <w:tblPr>
      <w:tblStyleRowBandSize w:val="1"/>
      <w:tblStyleColBandSize w:val="1"/>
      <w:tblBorders>
        <w:top w:val="single" w:sz="4" w:space="0" w:color="78AEFF" w:themeColor="accent3" w:themeTint="99"/>
        <w:left w:val="single" w:sz="4" w:space="0" w:color="78AEFF" w:themeColor="accent3" w:themeTint="99"/>
        <w:bottom w:val="single" w:sz="4" w:space="0" w:color="78AEFF" w:themeColor="accent3" w:themeTint="99"/>
        <w:right w:val="single" w:sz="4" w:space="0" w:color="78AEFF" w:themeColor="accent3" w:themeTint="99"/>
        <w:insideH w:val="single" w:sz="4" w:space="0" w:color="78AEFF" w:themeColor="accent3" w:themeTint="99"/>
        <w:insideV w:val="single" w:sz="4" w:space="0" w:color="78AEFF" w:themeColor="accent3" w:themeTint="99"/>
      </w:tblBorders>
    </w:tblPr>
    <w:tblStylePr w:type="firstRow">
      <w:rPr>
        <w:b/>
        <w:bCs/>
        <w:color w:val="FFFFFF" w:themeColor="background1"/>
      </w:rPr>
      <w:tblPr/>
      <w:tcPr>
        <w:tcBorders>
          <w:top w:val="single" w:sz="4" w:space="0" w:color="1F79FF" w:themeColor="accent3"/>
          <w:left w:val="single" w:sz="4" w:space="0" w:color="1F79FF" w:themeColor="accent3"/>
          <w:bottom w:val="single" w:sz="4" w:space="0" w:color="1F79FF" w:themeColor="accent3"/>
          <w:right w:val="single" w:sz="4" w:space="0" w:color="1F79FF" w:themeColor="accent3"/>
          <w:insideH w:val="nil"/>
          <w:insideV w:val="nil"/>
        </w:tcBorders>
        <w:shd w:val="clear" w:color="auto" w:fill="1F79FF" w:themeFill="accent3"/>
      </w:tcPr>
    </w:tblStylePr>
    <w:tblStylePr w:type="lastRow">
      <w:rPr>
        <w:b/>
        <w:bCs/>
      </w:rPr>
      <w:tblPr/>
      <w:tcPr>
        <w:tcBorders>
          <w:top w:val="double" w:sz="4" w:space="0" w:color="1F79FF" w:themeColor="accent3"/>
        </w:tcBorders>
      </w:tcPr>
    </w:tblStylePr>
    <w:tblStylePr w:type="firstCol">
      <w:rPr>
        <w:b/>
        <w:bCs/>
      </w:rPr>
    </w:tblStylePr>
    <w:tblStylePr w:type="lastCol">
      <w:rPr>
        <w:b/>
        <w:bCs/>
      </w:rPr>
    </w:tblStylePr>
    <w:tblStylePr w:type="band1Vert">
      <w:tblPr/>
      <w:tcPr>
        <w:shd w:val="clear" w:color="auto" w:fill="D2E4FF" w:themeFill="accent3" w:themeFillTint="33"/>
      </w:tcPr>
    </w:tblStylePr>
    <w:tblStylePr w:type="band1Horz">
      <w:tblPr/>
      <w:tcPr>
        <w:shd w:val="clear" w:color="auto" w:fill="D2E4FF" w:themeFill="accent3" w:themeFillTint="33"/>
      </w:tcPr>
    </w:tblStylePr>
  </w:style>
  <w:style w:type="character" w:styleId="FollowedHyperlink">
    <w:name w:val="FollowedHyperlink"/>
    <w:basedOn w:val="DefaultParagraphFont"/>
    <w:uiPriority w:val="99"/>
    <w:semiHidden/>
    <w:unhideWhenUsed/>
    <w:rsid w:val="00A337B2"/>
    <w:rPr>
      <w:color w:val="0DCF59" w:themeColor="followedHyperlink"/>
      <w:u w:val="single"/>
    </w:rPr>
  </w:style>
  <w:style w:type="paragraph" w:styleId="TOC4">
    <w:name w:val="toc 4"/>
    <w:basedOn w:val="Normal"/>
    <w:next w:val="Normal"/>
    <w:autoRedefine/>
    <w:uiPriority w:val="39"/>
    <w:unhideWhenUsed/>
    <w:rsid w:val="0067728A"/>
    <w:pPr>
      <w:spacing w:after="100"/>
      <w:ind w:left="600"/>
    </w:pPr>
  </w:style>
  <w:style w:type="paragraph" w:styleId="TOC5">
    <w:name w:val="toc 5"/>
    <w:basedOn w:val="Normal"/>
    <w:next w:val="Normal"/>
    <w:autoRedefine/>
    <w:uiPriority w:val="39"/>
    <w:semiHidden/>
    <w:unhideWhenUsed/>
    <w:rsid w:val="0067728A"/>
    <w:pPr>
      <w:spacing w:after="100"/>
      <w:ind w:left="800"/>
    </w:pPr>
  </w:style>
  <w:style w:type="paragraph" w:styleId="TOC6">
    <w:name w:val="toc 6"/>
    <w:basedOn w:val="Normal"/>
    <w:next w:val="Normal"/>
    <w:autoRedefine/>
    <w:uiPriority w:val="39"/>
    <w:semiHidden/>
    <w:unhideWhenUsed/>
    <w:rsid w:val="0067728A"/>
    <w:pPr>
      <w:spacing w:after="100"/>
      <w:ind w:left="1000"/>
    </w:pPr>
  </w:style>
  <w:style w:type="paragraph" w:styleId="TOC7">
    <w:name w:val="toc 7"/>
    <w:basedOn w:val="Normal"/>
    <w:next w:val="Normal"/>
    <w:autoRedefine/>
    <w:uiPriority w:val="39"/>
    <w:semiHidden/>
    <w:unhideWhenUsed/>
    <w:rsid w:val="0067728A"/>
    <w:pPr>
      <w:spacing w:after="100"/>
      <w:ind w:left="1200"/>
    </w:pPr>
  </w:style>
  <w:style w:type="paragraph" w:styleId="TOC8">
    <w:name w:val="toc 8"/>
    <w:basedOn w:val="Normal"/>
    <w:next w:val="Normal"/>
    <w:autoRedefine/>
    <w:uiPriority w:val="39"/>
    <w:semiHidden/>
    <w:unhideWhenUsed/>
    <w:rsid w:val="0067728A"/>
    <w:pPr>
      <w:spacing w:after="100"/>
      <w:ind w:left="1400"/>
    </w:pPr>
  </w:style>
  <w:style w:type="paragraph" w:styleId="TOC9">
    <w:name w:val="toc 9"/>
    <w:basedOn w:val="Normal"/>
    <w:next w:val="Normal"/>
    <w:autoRedefine/>
    <w:uiPriority w:val="39"/>
    <w:semiHidden/>
    <w:unhideWhenUsed/>
    <w:rsid w:val="0067728A"/>
    <w:pPr>
      <w:spacing w:after="100"/>
      <w:ind w:left="1600"/>
    </w:pPr>
  </w:style>
  <w:style w:type="table" w:styleId="ListTable3-Accent3">
    <w:name w:val="List Table 3 Accent 3"/>
    <w:basedOn w:val="TableNormal"/>
    <w:uiPriority w:val="48"/>
    <w:rsid w:val="000E3C5A"/>
    <w:tblPr>
      <w:tblStyleRowBandSize w:val="1"/>
      <w:tblStyleColBandSize w:val="1"/>
      <w:tblBorders>
        <w:top w:val="single" w:sz="4" w:space="0" w:color="1F79FF" w:themeColor="accent3"/>
        <w:left w:val="single" w:sz="4" w:space="0" w:color="1F79FF" w:themeColor="accent3"/>
        <w:bottom w:val="single" w:sz="4" w:space="0" w:color="1F79FF" w:themeColor="accent3"/>
        <w:right w:val="single" w:sz="4" w:space="0" w:color="1F79FF" w:themeColor="accent3"/>
      </w:tblBorders>
    </w:tblPr>
    <w:tblStylePr w:type="firstRow">
      <w:rPr>
        <w:b/>
        <w:bCs/>
        <w:color w:val="FFFFFF" w:themeColor="background1"/>
      </w:rPr>
      <w:tblPr/>
      <w:tcPr>
        <w:shd w:val="clear" w:color="auto" w:fill="1F79FF" w:themeFill="accent3"/>
      </w:tcPr>
    </w:tblStylePr>
    <w:tblStylePr w:type="lastRow">
      <w:rPr>
        <w:b/>
        <w:bCs/>
      </w:rPr>
      <w:tblPr/>
      <w:tcPr>
        <w:tcBorders>
          <w:top w:val="double" w:sz="4" w:space="0" w:color="1F79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F79FF" w:themeColor="accent3"/>
          <w:right w:val="single" w:sz="4" w:space="0" w:color="1F79FF" w:themeColor="accent3"/>
        </w:tcBorders>
      </w:tcPr>
    </w:tblStylePr>
    <w:tblStylePr w:type="band1Horz">
      <w:tblPr/>
      <w:tcPr>
        <w:tcBorders>
          <w:top w:val="single" w:sz="4" w:space="0" w:color="1F79FF" w:themeColor="accent3"/>
          <w:bottom w:val="single" w:sz="4" w:space="0" w:color="1F79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F79FF" w:themeColor="accent3"/>
          <w:left w:val="nil"/>
        </w:tcBorders>
      </w:tcPr>
    </w:tblStylePr>
    <w:tblStylePr w:type="swCell">
      <w:tblPr/>
      <w:tcPr>
        <w:tcBorders>
          <w:top w:val="double" w:sz="4" w:space="0" w:color="1F79FF" w:themeColor="accent3"/>
          <w:right w:val="nil"/>
        </w:tcBorders>
      </w:tcPr>
    </w:tblStylePr>
  </w:style>
  <w:style w:type="table" w:styleId="ListTable4-Accent3">
    <w:name w:val="List Table 4 Accent 3"/>
    <w:basedOn w:val="TableNormal"/>
    <w:uiPriority w:val="49"/>
    <w:rsid w:val="00917C71"/>
    <w:tblPr>
      <w:tblStyleRowBandSize w:val="1"/>
      <w:tblStyleColBandSize w:val="1"/>
      <w:tblBorders>
        <w:top w:val="single" w:sz="4" w:space="0" w:color="78AEFF" w:themeColor="accent3" w:themeTint="99"/>
        <w:left w:val="single" w:sz="4" w:space="0" w:color="78AEFF" w:themeColor="accent3" w:themeTint="99"/>
        <w:bottom w:val="single" w:sz="4" w:space="0" w:color="78AEFF" w:themeColor="accent3" w:themeTint="99"/>
        <w:right w:val="single" w:sz="4" w:space="0" w:color="78AEFF" w:themeColor="accent3" w:themeTint="99"/>
        <w:insideH w:val="single" w:sz="4" w:space="0" w:color="78AEFF" w:themeColor="accent3" w:themeTint="99"/>
      </w:tblBorders>
    </w:tblPr>
    <w:tblStylePr w:type="firstRow">
      <w:rPr>
        <w:b/>
        <w:bCs/>
        <w:color w:val="FFFFFF" w:themeColor="background1"/>
      </w:rPr>
      <w:tblPr/>
      <w:tcPr>
        <w:tcBorders>
          <w:top w:val="single" w:sz="4" w:space="0" w:color="1F79FF" w:themeColor="accent3"/>
          <w:left w:val="single" w:sz="4" w:space="0" w:color="1F79FF" w:themeColor="accent3"/>
          <w:bottom w:val="single" w:sz="4" w:space="0" w:color="1F79FF" w:themeColor="accent3"/>
          <w:right w:val="single" w:sz="4" w:space="0" w:color="1F79FF" w:themeColor="accent3"/>
          <w:insideH w:val="nil"/>
        </w:tcBorders>
        <w:shd w:val="clear" w:color="auto" w:fill="1F79FF" w:themeFill="accent3"/>
      </w:tcPr>
    </w:tblStylePr>
    <w:tblStylePr w:type="lastRow">
      <w:rPr>
        <w:b/>
        <w:bCs/>
      </w:rPr>
      <w:tblPr/>
      <w:tcPr>
        <w:tcBorders>
          <w:top w:val="double" w:sz="4" w:space="0" w:color="78AEFF" w:themeColor="accent3" w:themeTint="99"/>
        </w:tcBorders>
      </w:tcPr>
    </w:tblStylePr>
    <w:tblStylePr w:type="firstCol">
      <w:rPr>
        <w:b/>
        <w:bCs/>
      </w:rPr>
    </w:tblStylePr>
    <w:tblStylePr w:type="lastCol">
      <w:rPr>
        <w:b/>
        <w:bCs/>
      </w:rPr>
    </w:tblStylePr>
    <w:tblStylePr w:type="band1Vert">
      <w:tblPr/>
      <w:tcPr>
        <w:shd w:val="clear" w:color="auto" w:fill="D2E4FF" w:themeFill="accent3" w:themeFillTint="33"/>
      </w:tcPr>
    </w:tblStylePr>
    <w:tblStylePr w:type="band1Horz">
      <w:tblPr/>
      <w:tcPr>
        <w:shd w:val="clear" w:color="auto" w:fill="D2E4FF" w:themeFill="accent3" w:themeFillTint="33"/>
      </w:tcPr>
    </w:tblStylePr>
  </w:style>
  <w:style w:type="table" w:customStyle="1" w:styleId="VectorTable">
    <w:name w:val="Vector Table"/>
    <w:basedOn w:val="TableNormal"/>
    <w:uiPriority w:val="99"/>
    <w:rsid w:val="004F23CF"/>
    <w:pPr>
      <w:ind w:left="0"/>
      <w:jc w:val="left"/>
    </w:pPr>
    <w:rPr>
      <w:color w:val="auto"/>
    </w:rPr>
    <w:tblPr>
      <w:tblStyleRowBandSize w:val="1"/>
      <w:tblStyleColBandSize w:val="1"/>
      <w:tblBorders>
        <w:top w:val="single" w:sz="4" w:space="0" w:color="1F79FF" w:themeColor="text2"/>
        <w:left w:val="single" w:sz="4" w:space="0" w:color="1F79FF" w:themeColor="text2"/>
        <w:bottom w:val="single" w:sz="4" w:space="0" w:color="1F79FF" w:themeColor="text2"/>
        <w:right w:val="single" w:sz="4" w:space="0" w:color="1F79FF" w:themeColor="text2"/>
        <w:insideH w:val="single" w:sz="4" w:space="0" w:color="1F79FF" w:themeColor="text2"/>
        <w:insideV w:val="single" w:sz="4" w:space="0" w:color="1F79FF" w:themeColor="text2"/>
      </w:tblBorders>
    </w:tblPr>
    <w:tcPr>
      <w:shd w:val="clear" w:color="auto" w:fill="auto"/>
      <w:tcMar>
        <w:top w:w="85" w:type="dxa"/>
        <w:bottom w:w="85" w:type="dxa"/>
      </w:tcMar>
    </w:tcPr>
    <w:tblStylePr w:type="firstRow">
      <w:pPr>
        <w:wordWrap/>
        <w:spacing w:beforeLines="0" w:before="120" w:beforeAutospacing="0" w:afterLines="0" w:after="120" w:afterAutospacing="0" w:line="240" w:lineRule="auto"/>
        <w:ind w:leftChars="0" w:left="0" w:rightChars="0" w:right="0" w:firstLineChars="0" w:firstLine="0"/>
        <w:jc w:val="left"/>
        <w:outlineLvl w:val="9"/>
      </w:pPr>
      <w:rPr>
        <w:rFonts w:ascii="Arial" w:hAnsi="Arial"/>
        <w:b/>
        <w:i w:val="0"/>
        <w:caps w:val="0"/>
        <w:smallCaps w:val="0"/>
        <w:strike w:val="0"/>
        <w:dstrike w:val="0"/>
        <w:vanish w:val="0"/>
        <w:color w:val="FFFFFF" w:themeColor="background1"/>
        <w:sz w:val="21"/>
        <w:vertAlign w:val="baseline"/>
      </w:rPr>
      <w:tblPr/>
      <w:tcPr>
        <w:shd w:val="clear" w:color="auto" w:fill="CDE1FF"/>
      </w:tcPr>
    </w:tblStylePr>
    <w:tblStylePr w:type="firstCol">
      <w:rPr>
        <w:b/>
        <w:color w:val="FFFFFF" w:themeColor="background1"/>
      </w:rPr>
      <w:tblPr/>
      <w:tcPr>
        <w:shd w:val="clear" w:color="auto" w:fill="CDE1FF"/>
      </w:tcPr>
    </w:tblStylePr>
    <w:tblStylePr w:type="band1Horz">
      <w:pPr>
        <w:wordWrap/>
        <w:spacing w:beforeLines="0" w:before="120" w:beforeAutospacing="0" w:afterLines="0" w:after="120" w:afterAutospacing="0" w:line="240" w:lineRule="auto"/>
        <w:ind w:leftChars="0" w:left="0" w:rightChars="0" w:right="0" w:firstLineChars="0" w:firstLine="0"/>
        <w:contextualSpacing w:val="0"/>
        <w:mirrorIndents w:val="0"/>
        <w:jc w:val="left"/>
      </w:pPr>
    </w:tblStylePr>
    <w:tblStylePr w:type="band2Horz">
      <w:pPr>
        <w:wordWrap/>
        <w:spacing w:beforeLines="0" w:before="120" w:beforeAutospacing="0" w:afterLines="0" w:after="120" w:afterAutospacing="0" w:line="240" w:lineRule="auto"/>
        <w:ind w:leftChars="0" w:left="0" w:rightChars="0" w:right="0" w:firstLineChars="0" w:firstLine="0"/>
        <w:contextualSpacing w:val="0"/>
        <w:jc w:val="left"/>
      </w:pPr>
    </w:tblStylePr>
  </w:style>
  <w:style w:type="character" w:styleId="UnresolvedMention">
    <w:name w:val="Unresolved Mention"/>
    <w:basedOn w:val="DefaultParagraphFont"/>
    <w:uiPriority w:val="99"/>
    <w:semiHidden/>
    <w:unhideWhenUsed/>
    <w:rsid w:val="00E44522"/>
    <w:rPr>
      <w:color w:val="605E5C"/>
      <w:shd w:val="clear" w:color="auto" w:fill="E1DFDD"/>
    </w:rPr>
  </w:style>
  <w:style w:type="paragraph" w:styleId="FootnoteText">
    <w:name w:val="footnote text"/>
    <w:basedOn w:val="Normal"/>
    <w:link w:val="FootnoteTextChar"/>
    <w:semiHidden/>
    <w:unhideWhenUsed/>
    <w:rsid w:val="00071E43"/>
    <w:pPr>
      <w:jc w:val="left"/>
    </w:pPr>
    <w:rPr>
      <w:rFonts w:ascii="Verdana" w:eastAsiaTheme="minorEastAsia" w:hAnsi="Verdana" w:cs="Arial"/>
      <w:szCs w:val="20"/>
      <w:lang w:eastAsia="en-NZ"/>
    </w:rPr>
  </w:style>
  <w:style w:type="character" w:customStyle="1" w:styleId="FootnoteTextChar">
    <w:name w:val="Footnote Text Char"/>
    <w:basedOn w:val="DefaultParagraphFont"/>
    <w:link w:val="FootnoteText"/>
    <w:semiHidden/>
    <w:rsid w:val="00071E43"/>
    <w:rPr>
      <w:rFonts w:ascii="Verdana" w:eastAsiaTheme="minorEastAsia" w:hAnsi="Verdana" w:cs="Arial"/>
      <w:color w:val="auto"/>
      <w:lang w:eastAsia="en-NZ"/>
    </w:rPr>
  </w:style>
  <w:style w:type="character" w:styleId="FootnoteReference">
    <w:name w:val="footnote reference"/>
    <w:basedOn w:val="DefaultParagraphFont"/>
    <w:semiHidden/>
    <w:unhideWhenUsed/>
    <w:rsid w:val="00071E43"/>
    <w:rPr>
      <w:vertAlign w:val="superscript"/>
    </w:rPr>
  </w:style>
  <w:style w:type="table" w:styleId="ListTable3-Accent1">
    <w:name w:val="List Table 3 Accent 1"/>
    <w:basedOn w:val="TableNormal"/>
    <w:uiPriority w:val="48"/>
    <w:rsid w:val="00AF12A6"/>
    <w:pPr>
      <w:spacing w:before="0" w:after="0" w:line="240" w:lineRule="auto"/>
      <w:ind w:left="0"/>
      <w:jc w:val="center"/>
    </w:pPr>
    <w:rPr>
      <w:rFonts w:ascii="Verdana" w:hAnsi="Verdana"/>
      <w:color w:val="auto"/>
      <w:sz w:val="16"/>
    </w:rPr>
    <w:tblPr>
      <w:tblStyleRowBandSize w:val="1"/>
      <w:tblStyleColBandSize w:val="1"/>
    </w:tblPr>
    <w:tcPr>
      <w:vAlign w:val="center"/>
    </w:tcPr>
    <w:tblStylePr w:type="firstRow">
      <w:pPr>
        <w:wordWrap/>
        <w:jc w:val="center"/>
      </w:pPr>
      <w:rPr>
        <w:rFonts w:ascii="Verdana" w:hAnsi="Verdana"/>
        <w:b/>
        <w:bCs/>
        <w:color w:val="auto"/>
        <w:sz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072438"/>
      </w:tcPr>
    </w:tblStylePr>
    <w:tblStylePr w:type="lastRow">
      <w:rPr>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tblStylePr w:type="firstCol">
      <w:rPr>
        <w:b w:val="0"/>
        <w:bCs/>
        <w:i w:val="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tblStylePr w:type="lastCol">
      <w:rPr>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wordWrap/>
        <w:spacing w:beforeLines="0" w:before="120" w:beforeAutospacing="0" w:afterLines="0" w:after="100" w:afterAutospacing="1" w:line="276" w:lineRule="auto"/>
        <w:contextualSpacing/>
        <w:jc w:val="center"/>
      </w:pPr>
      <w:rPr>
        <w:rFonts w:ascii="Verdana" w:hAnsi="Verdana"/>
      </w:rPr>
      <w:tblPr/>
      <w:tcPr>
        <w:tcBorders>
          <w:top w:val="single" w:sz="4" w:space="0" w:color="072438"/>
          <w:left w:val="single" w:sz="4" w:space="0" w:color="072438"/>
          <w:bottom w:val="single" w:sz="4" w:space="0" w:color="072438"/>
          <w:right w:val="single" w:sz="4" w:space="0" w:color="072438"/>
          <w:insideH w:val="single" w:sz="6" w:space="0" w:color="072438"/>
          <w:insideV w:val="single" w:sz="6" w:space="0" w:color="072438"/>
          <w:tl2br w:val="nil"/>
          <w:tr2bl w:val="nil"/>
        </w:tcBorders>
      </w:tcPr>
    </w:tblStylePr>
    <w:tblStylePr w:type="neCell">
      <w:tblPr/>
      <w:tcPr>
        <w:tcBorders>
          <w:top w:val="nil"/>
          <w:left w:val="nil"/>
          <w:bottom w:val="nil"/>
          <w:right w:val="nil"/>
          <w:insideH w:val="nil"/>
          <w:insideV w:val="nil"/>
        </w:tcBorders>
      </w:tcPr>
    </w:tblStylePr>
    <w:tblStylePr w:type="n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customStyle="1" w:styleId="TableTextsmall">
    <w:name w:val="Table Text small"/>
    <w:basedOn w:val="Normal"/>
    <w:uiPriority w:val="99"/>
    <w:rsid w:val="009E0447"/>
    <w:pPr>
      <w:spacing w:before="20" w:after="20" w:line="240" w:lineRule="exact"/>
      <w:jc w:val="left"/>
    </w:pPr>
    <w:rPr>
      <w:rFonts w:ascii="Arial" w:eastAsia="Times New Roman" w:hAnsi="Arial" w:cs="Times New Roman"/>
      <w:i/>
      <w:szCs w:val="20"/>
      <w:lang w:eastAsia="en-GB"/>
    </w:rPr>
  </w:style>
  <w:style w:type="table" w:styleId="GridTable4-Accent6">
    <w:name w:val="Grid Table 4 Accent 6"/>
    <w:basedOn w:val="TableNormal"/>
    <w:uiPriority w:val="49"/>
    <w:rsid w:val="00D55F45"/>
    <w:pPr>
      <w:spacing w:before="0" w:after="0" w:line="240" w:lineRule="auto"/>
      <w:ind w:hanging="567"/>
      <w:jc w:val="left"/>
    </w:pPr>
    <w:rPr>
      <w:rFonts w:ascii="Arial" w:hAnsi="Arial"/>
      <w:color w:val="auto"/>
      <w:sz w:val="21"/>
    </w:rPr>
    <w:tblPr>
      <w:tblStyleRowBandSize w:val="1"/>
      <w:tblStyleColBandSize w:val="1"/>
      <w:tblBorders>
        <w:insideH w:val="single" w:sz="4" w:space="0" w:color="072438"/>
        <w:insideV w:val="single" w:sz="4" w:space="0" w:color="072438"/>
      </w:tblBorders>
    </w:tblPr>
    <w:tcPr>
      <w:shd w:val="clear" w:color="auto" w:fill="auto"/>
    </w:tcPr>
    <w:tblStylePr w:type="firstRow">
      <w:rPr>
        <w:b/>
        <w:bCs/>
        <w:color w:val="FFFFFF" w:themeColor="background1"/>
      </w:rPr>
      <w:tblPr/>
      <w:tcPr>
        <w:tcBorders>
          <w:top w:val="single" w:sz="4" w:space="0" w:color="FF6C0E" w:themeColor="accent6"/>
          <w:left w:val="single" w:sz="4" w:space="0" w:color="FF6C0E" w:themeColor="accent6"/>
          <w:bottom w:val="single" w:sz="4" w:space="0" w:color="FF6C0E" w:themeColor="accent6"/>
          <w:right w:val="single" w:sz="4" w:space="0" w:color="FF6C0E" w:themeColor="accent6"/>
          <w:insideH w:val="nil"/>
          <w:insideV w:val="nil"/>
        </w:tcBorders>
        <w:shd w:val="clear" w:color="auto" w:fill="FF6C0E" w:themeFill="accent6"/>
      </w:tcPr>
    </w:tblStylePr>
    <w:tblStylePr w:type="lastRow">
      <w:rPr>
        <w:b/>
        <w:bCs/>
      </w:rPr>
      <w:tblPr/>
      <w:tcPr>
        <w:tcBorders>
          <w:top w:val="double" w:sz="4" w:space="0" w:color="FF6C0E" w:themeColor="accent6"/>
        </w:tcBorders>
      </w:tcPr>
    </w:tblStylePr>
    <w:tblStylePr w:type="firstCol">
      <w:rPr>
        <w:b/>
        <w:bCs/>
      </w:rPr>
    </w:tblStylePr>
    <w:tblStylePr w:type="lastCol">
      <w:rPr>
        <w:b/>
        <w:bCs/>
      </w:rPr>
    </w:tblStylePr>
    <w:tblStylePr w:type="band1Vert">
      <w:tblPr/>
      <w:tcPr>
        <w:shd w:val="clear" w:color="auto" w:fill="FFE1CE" w:themeFill="accent6" w:themeFillTint="33"/>
      </w:tcPr>
    </w:tblStylePr>
    <w:tblStylePr w:type="band1Horz">
      <w:tblPr/>
      <w:tcPr>
        <w:shd w:val="clear" w:color="auto" w:fill="FFE1CE" w:themeFill="accent6" w:themeFillTint="33"/>
      </w:tcPr>
    </w:tblStylePr>
  </w:style>
  <w:style w:type="paragraph" w:customStyle="1" w:styleId="Appendix1">
    <w:name w:val="Appendix 1"/>
    <w:basedOn w:val="Heading1"/>
    <w:next w:val="Normal"/>
    <w:link w:val="Appendix1Char"/>
    <w:uiPriority w:val="6"/>
    <w:qFormat/>
    <w:rsid w:val="00FE3679"/>
    <w:pPr>
      <w:numPr>
        <w:numId w:val="10"/>
      </w:numPr>
      <w:tabs>
        <w:tab w:val="clear" w:pos="567"/>
      </w:tabs>
    </w:pPr>
    <w:rPr>
      <w:rFonts w:eastAsiaTheme="minorEastAsia"/>
      <w:bCs/>
      <w:szCs w:val="28"/>
      <w:lang w:eastAsia="en-NZ"/>
    </w:rPr>
  </w:style>
  <w:style w:type="character" w:customStyle="1" w:styleId="Appendix1Char">
    <w:name w:val="Appendix 1 Char"/>
    <w:basedOn w:val="DefaultParagraphFont"/>
    <w:link w:val="Appendix1"/>
    <w:uiPriority w:val="6"/>
    <w:rsid w:val="00FE3679"/>
    <w:rPr>
      <w:rFonts w:ascii="Arial" w:eastAsiaTheme="minorEastAsia" w:hAnsi="Arial" w:cs="Arial"/>
      <w:bCs/>
      <w:color w:val="auto"/>
      <w:sz w:val="32"/>
      <w:szCs w:val="28"/>
      <w:lang w:eastAsia="en-NZ"/>
    </w:rPr>
  </w:style>
  <w:style w:type="paragraph" w:customStyle="1" w:styleId="Level3Indent">
    <w:name w:val="Level 3 Indent"/>
    <w:basedOn w:val="Level1Indent"/>
    <w:uiPriority w:val="5"/>
    <w:qFormat/>
    <w:rsid w:val="00231567"/>
    <w:pPr>
      <w:numPr>
        <w:numId w:val="11"/>
      </w:numPr>
    </w:pPr>
  </w:style>
  <w:style w:type="paragraph" w:customStyle="1" w:styleId="H2TextIndent">
    <w:name w:val="H2 Text Indent"/>
    <w:basedOn w:val="Normal"/>
    <w:qFormat/>
    <w:rsid w:val="00231567"/>
    <w:pPr>
      <w:tabs>
        <w:tab w:val="clear" w:pos="284"/>
        <w:tab w:val="clear" w:pos="567"/>
        <w:tab w:val="clear" w:pos="1276"/>
        <w:tab w:val="clear" w:pos="1985"/>
      </w:tabs>
      <w:ind w:left="1276"/>
    </w:pPr>
  </w:style>
  <w:style w:type="paragraph" w:customStyle="1" w:styleId="H3TextIndent">
    <w:name w:val="H3 Text Indent"/>
    <w:basedOn w:val="Normal"/>
    <w:qFormat/>
    <w:rsid w:val="00231567"/>
    <w:pPr>
      <w:tabs>
        <w:tab w:val="clear" w:pos="284"/>
        <w:tab w:val="clear" w:pos="567"/>
        <w:tab w:val="clear" w:pos="1276"/>
        <w:tab w:val="clear" w:pos="1985"/>
      </w:tabs>
      <w:ind w:left="1985"/>
    </w:pPr>
  </w:style>
  <w:style w:type="paragraph" w:customStyle="1" w:styleId="NumStyle2Lev2">
    <w:name w:val="NumStyle2Lev2"/>
    <w:basedOn w:val="Normal"/>
    <w:uiPriority w:val="2"/>
    <w:qFormat/>
    <w:rsid w:val="00004AF6"/>
    <w:pPr>
      <w:numPr>
        <w:numId w:val="12"/>
      </w:numPr>
      <w:tabs>
        <w:tab w:val="clear" w:pos="284"/>
        <w:tab w:val="clear" w:pos="1276"/>
        <w:tab w:val="clear" w:pos="1985"/>
      </w:tabs>
      <w:spacing w:after="240" w:line="240" w:lineRule="auto"/>
    </w:pPr>
    <w:rPr>
      <w:rFonts w:ascii="Arial" w:eastAsia="Times New Roman" w:hAnsi="Arial" w:cs="Arial"/>
      <w:szCs w:val="21"/>
      <w:lang w:eastAsia="en-NZ"/>
    </w:rPr>
  </w:style>
  <w:style w:type="paragraph" w:customStyle="1" w:styleId="NumStyle2Lev3">
    <w:name w:val="NumStyle2Lev3"/>
    <w:basedOn w:val="NumStyle2Lev2"/>
    <w:uiPriority w:val="2"/>
    <w:qFormat/>
    <w:rsid w:val="00004AF6"/>
    <w:pPr>
      <w:numPr>
        <w:ilvl w:val="1"/>
      </w:numPr>
    </w:pPr>
  </w:style>
  <w:style w:type="paragraph" w:customStyle="1" w:styleId="NumStyle2Lev4">
    <w:name w:val="NumStyle2Lev4"/>
    <w:basedOn w:val="NumStyle2Lev3"/>
    <w:uiPriority w:val="2"/>
    <w:qFormat/>
    <w:rsid w:val="00004AF6"/>
    <w:pPr>
      <w:numPr>
        <w:ilvl w:val="2"/>
      </w:numPr>
    </w:pPr>
  </w:style>
  <w:style w:type="paragraph" w:customStyle="1" w:styleId="RM-SLevel1">
    <w:name w:val="RM-S Level 1"/>
    <w:basedOn w:val="Normal"/>
    <w:rsid w:val="00AA37FC"/>
    <w:pPr>
      <w:numPr>
        <w:numId w:val="13"/>
      </w:numPr>
      <w:tabs>
        <w:tab w:val="clear" w:pos="284"/>
        <w:tab w:val="clear" w:pos="567"/>
        <w:tab w:val="clear" w:pos="850"/>
        <w:tab w:val="clear" w:pos="1276"/>
        <w:tab w:val="clear" w:pos="1985"/>
      </w:tabs>
      <w:spacing w:before="240" w:line="260" w:lineRule="atLeast"/>
      <w:jc w:val="left"/>
    </w:pPr>
    <w:rPr>
      <w:rFonts w:ascii="Arial" w:eastAsia="Times New Roman" w:hAnsi="Arial" w:cs="Arial"/>
      <w:kern w:val="28"/>
      <w:sz w:val="20"/>
      <w:szCs w:val="20"/>
      <w:lang w:eastAsia="en-NZ"/>
    </w:rPr>
  </w:style>
  <w:style w:type="paragraph" w:customStyle="1" w:styleId="RM-SLevel2">
    <w:name w:val="RM-S Level 2"/>
    <w:basedOn w:val="Normal"/>
    <w:rsid w:val="00AA37FC"/>
    <w:pPr>
      <w:numPr>
        <w:ilvl w:val="1"/>
        <w:numId w:val="13"/>
      </w:numPr>
      <w:tabs>
        <w:tab w:val="clear" w:pos="284"/>
        <w:tab w:val="clear" w:pos="567"/>
        <w:tab w:val="clear" w:pos="1276"/>
        <w:tab w:val="clear" w:pos="1701"/>
        <w:tab w:val="clear" w:pos="1985"/>
      </w:tabs>
      <w:spacing w:before="240" w:line="260" w:lineRule="atLeast"/>
      <w:ind w:hanging="850"/>
      <w:jc w:val="left"/>
    </w:pPr>
    <w:rPr>
      <w:rFonts w:ascii="Arial" w:eastAsia="Times New Roman" w:hAnsi="Arial" w:cs="Arial"/>
      <w:sz w:val="20"/>
      <w:szCs w:val="20"/>
      <w:lang w:eastAsia="en-NZ"/>
    </w:rPr>
  </w:style>
  <w:style w:type="paragraph" w:customStyle="1" w:styleId="RM-SLevel3">
    <w:name w:val="RM-S Level 3"/>
    <w:basedOn w:val="Normal"/>
    <w:rsid w:val="00AA37FC"/>
    <w:pPr>
      <w:numPr>
        <w:ilvl w:val="2"/>
        <w:numId w:val="13"/>
      </w:numPr>
      <w:tabs>
        <w:tab w:val="clear" w:pos="284"/>
        <w:tab w:val="clear" w:pos="567"/>
        <w:tab w:val="clear" w:pos="1276"/>
        <w:tab w:val="clear" w:pos="1985"/>
        <w:tab w:val="clear" w:pos="2551"/>
      </w:tabs>
      <w:spacing w:before="240" w:line="260" w:lineRule="atLeast"/>
      <w:jc w:val="left"/>
    </w:pPr>
    <w:rPr>
      <w:rFonts w:ascii="Arial" w:eastAsia="Times New Roman" w:hAnsi="Arial" w:cs="Arial"/>
      <w:sz w:val="20"/>
      <w:szCs w:val="20"/>
      <w:lang w:eastAsia="en-NZ"/>
    </w:rPr>
  </w:style>
  <w:style w:type="paragraph" w:customStyle="1" w:styleId="RM-SLevel4">
    <w:name w:val="RM-S Level 4"/>
    <w:basedOn w:val="Normal"/>
    <w:rsid w:val="00AA37FC"/>
    <w:pPr>
      <w:numPr>
        <w:ilvl w:val="3"/>
        <w:numId w:val="13"/>
      </w:numPr>
      <w:tabs>
        <w:tab w:val="clear" w:pos="284"/>
        <w:tab w:val="clear" w:pos="567"/>
        <w:tab w:val="clear" w:pos="1276"/>
        <w:tab w:val="clear" w:pos="1985"/>
        <w:tab w:val="clear" w:pos="3402"/>
      </w:tabs>
      <w:spacing w:before="240" w:line="260" w:lineRule="atLeast"/>
      <w:ind w:hanging="850"/>
      <w:jc w:val="left"/>
    </w:pPr>
    <w:rPr>
      <w:rFonts w:ascii="Arial" w:eastAsia="Times New Roman" w:hAnsi="Arial" w:cs="Arial"/>
      <w:sz w:val="20"/>
      <w:szCs w:val="20"/>
      <w:lang w:eastAsia="en-NZ"/>
    </w:rPr>
  </w:style>
  <w:style w:type="paragraph" w:customStyle="1" w:styleId="RM-SLevel5">
    <w:name w:val="RM-S Level 5"/>
    <w:basedOn w:val="Normal"/>
    <w:rsid w:val="00AA37FC"/>
    <w:pPr>
      <w:numPr>
        <w:ilvl w:val="4"/>
        <w:numId w:val="13"/>
      </w:numPr>
      <w:tabs>
        <w:tab w:val="clear" w:pos="284"/>
        <w:tab w:val="clear" w:pos="567"/>
        <w:tab w:val="clear" w:pos="1276"/>
        <w:tab w:val="clear" w:pos="1985"/>
        <w:tab w:val="clear" w:pos="4252"/>
      </w:tabs>
      <w:spacing w:before="240" w:line="260" w:lineRule="atLeast"/>
      <w:jc w:val="left"/>
    </w:pPr>
    <w:rPr>
      <w:rFonts w:ascii="Arial" w:eastAsia="Times New Roman" w:hAnsi="Arial" w:cs="Arial"/>
      <w:sz w:val="20"/>
      <w:szCs w:val="20"/>
      <w:lang w:eastAsia="en-NZ"/>
    </w:rPr>
  </w:style>
  <w:style w:type="paragraph" w:customStyle="1" w:styleId="RM-SLevel6">
    <w:name w:val="RM-S Level 6"/>
    <w:basedOn w:val="Normal"/>
    <w:rsid w:val="00AA37FC"/>
    <w:pPr>
      <w:numPr>
        <w:ilvl w:val="5"/>
        <w:numId w:val="13"/>
      </w:numPr>
      <w:tabs>
        <w:tab w:val="clear" w:pos="284"/>
        <w:tab w:val="clear" w:pos="567"/>
        <w:tab w:val="clear" w:pos="1276"/>
        <w:tab w:val="clear" w:pos="1985"/>
        <w:tab w:val="clear" w:pos="5102"/>
      </w:tabs>
      <w:spacing w:before="240" w:line="260" w:lineRule="atLeast"/>
      <w:jc w:val="left"/>
    </w:pPr>
    <w:rPr>
      <w:rFonts w:ascii="Arial" w:eastAsia="Times New Roman" w:hAnsi="Arial" w:cs="Arial"/>
      <w:sz w:val="20"/>
      <w:szCs w:val="20"/>
      <w:lang w:eastAsia="en-NZ"/>
    </w:rPr>
  </w:style>
  <w:style w:type="paragraph" w:styleId="NormalWeb">
    <w:name w:val="Normal (Web)"/>
    <w:basedOn w:val="Normal"/>
    <w:uiPriority w:val="99"/>
    <w:semiHidden/>
    <w:unhideWhenUsed/>
    <w:rsid w:val="00575A1A"/>
    <w:pPr>
      <w:tabs>
        <w:tab w:val="clear" w:pos="284"/>
        <w:tab w:val="clear" w:pos="567"/>
        <w:tab w:val="clear" w:pos="1276"/>
        <w:tab w:val="clear" w:pos="1985"/>
      </w:tabs>
      <w:spacing w:before="100" w:beforeAutospacing="1" w:after="100" w:afterAutospacing="1" w:line="240" w:lineRule="auto"/>
      <w:jc w:val="left"/>
    </w:pPr>
    <w:rPr>
      <w:rFonts w:ascii="Times New Roman" w:eastAsia="Times New Roman" w:hAnsi="Times New Roman" w:cs="Times New Roman"/>
      <w:sz w:val="24"/>
      <w:szCs w:val="24"/>
      <w:lang w:eastAsia="en-NZ"/>
    </w:rPr>
  </w:style>
  <w:style w:type="paragraph" w:customStyle="1" w:styleId="Default">
    <w:name w:val="Default"/>
    <w:rsid w:val="000F7541"/>
    <w:pPr>
      <w:autoSpaceDE w:val="0"/>
      <w:autoSpaceDN w:val="0"/>
      <w:adjustRightInd w:val="0"/>
      <w:spacing w:before="0" w:after="0" w:line="240" w:lineRule="auto"/>
      <w:ind w:left="0"/>
      <w:jc w:val="left"/>
    </w:pPr>
    <w:rPr>
      <w:rFonts w:ascii="Arial" w:hAnsi="Arial" w:cs="Arial"/>
      <w:color w:val="000000"/>
      <w:sz w:val="24"/>
      <w:szCs w:val="24"/>
    </w:rPr>
  </w:style>
  <w:style w:type="character" w:styleId="Mention">
    <w:name w:val="Mention"/>
    <w:basedOn w:val="DefaultParagraphFont"/>
    <w:uiPriority w:val="99"/>
    <w:unhideWhenUsed/>
    <w:rsid w:val="00D0488E"/>
    <w:rPr>
      <w:color w:val="2B579A"/>
      <w:shd w:val="clear" w:color="auto" w:fill="E1DFDD"/>
    </w:rPr>
  </w:style>
  <w:style w:type="paragraph" w:customStyle="1" w:styleId="xmsolistparagraph">
    <w:name w:val="x_msolistparagraph"/>
    <w:basedOn w:val="Normal"/>
    <w:rsid w:val="00F02CD3"/>
    <w:pPr>
      <w:tabs>
        <w:tab w:val="clear" w:pos="284"/>
        <w:tab w:val="clear" w:pos="567"/>
        <w:tab w:val="clear" w:pos="1276"/>
        <w:tab w:val="clear" w:pos="1985"/>
      </w:tabs>
      <w:spacing w:before="100" w:beforeAutospacing="1" w:after="100" w:afterAutospacing="1" w:line="240" w:lineRule="auto"/>
      <w:jc w:val="left"/>
    </w:pPr>
    <w:rPr>
      <w:rFonts w:ascii="Times New Roman" w:eastAsia="Times New Roman" w:hAnsi="Times New Roman" w:cs="Times New Roman"/>
      <w:sz w:val="24"/>
      <w:szCs w:val="24"/>
      <w:lang w:eastAsia="en-NZ"/>
    </w:rPr>
  </w:style>
  <w:style w:type="paragraph" w:customStyle="1" w:styleId="pf0">
    <w:name w:val="pf0"/>
    <w:basedOn w:val="Normal"/>
    <w:rsid w:val="00673747"/>
    <w:pPr>
      <w:tabs>
        <w:tab w:val="clear" w:pos="284"/>
        <w:tab w:val="clear" w:pos="567"/>
        <w:tab w:val="clear" w:pos="1276"/>
        <w:tab w:val="clear" w:pos="1985"/>
      </w:tabs>
      <w:spacing w:before="100" w:beforeAutospacing="1" w:after="100" w:afterAutospacing="1" w:line="240" w:lineRule="auto"/>
      <w:ind w:left="1080"/>
      <w:jc w:val="left"/>
    </w:pPr>
    <w:rPr>
      <w:rFonts w:ascii="Times New Roman" w:eastAsia="Times New Roman" w:hAnsi="Times New Roman" w:cs="Times New Roman"/>
      <w:sz w:val="24"/>
      <w:szCs w:val="24"/>
      <w:lang w:eastAsia="en-NZ"/>
    </w:rPr>
  </w:style>
  <w:style w:type="character" w:customStyle="1" w:styleId="cf01">
    <w:name w:val="cf01"/>
    <w:basedOn w:val="DefaultParagraphFont"/>
    <w:rsid w:val="00673747"/>
    <w:rPr>
      <w:rFonts w:ascii="Segoe UI" w:hAnsi="Segoe UI" w:cs="Segoe UI" w:hint="default"/>
      <w:sz w:val="18"/>
      <w:szCs w:val="18"/>
    </w:rPr>
  </w:style>
  <w:style w:type="character" w:customStyle="1" w:styleId="cf11">
    <w:name w:val="cf11"/>
    <w:basedOn w:val="DefaultParagraphFont"/>
    <w:rsid w:val="00673747"/>
    <w:rPr>
      <w:rFonts w:ascii="Segoe UI" w:hAnsi="Segoe UI" w:cs="Segoe UI" w:hint="default"/>
      <w:color w:val="FF0000"/>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protect.checkpoint.com/v2/r04/___https://environment.govt.nz/publications/better-planning-for-a-better-new-zealand___.Y3A0YTp2ZWN0b3JsdGQ6YzpvOjAwMjU0ODY2Mzk4NzU3MzEzM2Y0YTI1MjBkNzk3NjEwOjc6MDc3Mjo0MjdkODY0MThkMmJlYTNhNzhlZGRlNmVmNDhkYmI2NTM5ZTdhNGVmNTAwYzc2NWNmZjFmZmFjYmY1NjhjMmZlOnA6VDp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Vector 2019">
  <a:themeElements>
    <a:clrScheme name="Vector">
      <a:dk1>
        <a:srgbClr val="000840"/>
      </a:dk1>
      <a:lt1>
        <a:srgbClr val="FFFFFF"/>
      </a:lt1>
      <a:dk2>
        <a:srgbClr val="1F79FF"/>
      </a:dk2>
      <a:lt2>
        <a:srgbClr val="0DCF59"/>
      </a:lt2>
      <a:accent1>
        <a:srgbClr val="000840"/>
      </a:accent1>
      <a:accent2>
        <a:srgbClr val="00B5E0"/>
      </a:accent2>
      <a:accent3>
        <a:srgbClr val="1F79FF"/>
      </a:accent3>
      <a:accent4>
        <a:srgbClr val="0DCF59"/>
      </a:accent4>
      <a:accent5>
        <a:srgbClr val="E54B37"/>
      </a:accent5>
      <a:accent6>
        <a:srgbClr val="FF6C0E"/>
      </a:accent6>
      <a:hlink>
        <a:srgbClr val="1F79FF"/>
      </a:hlink>
      <a:folHlink>
        <a:srgbClr val="0DCF5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defPPr algn="ctr">
          <a:defRPr dirty="0">
            <a:latin typeface="Montserrat" panose="02000505000000020004" pitchFamily="2" charset="77"/>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Vector 2019" id="{C2B26EBB-6A3A-5745-A9AF-7013C18E4074}" vid="{B18CF88F-E2F7-9B43-B963-2995D81B04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47CC0E7A16024D8F67C47CE370451B" ma:contentTypeVersion="19" ma:contentTypeDescription="Create a new document." ma:contentTypeScope="" ma:versionID="341125afe99b56ee6df892b6215caec5">
  <xsd:schema xmlns:xsd="http://www.w3.org/2001/XMLSchema" xmlns:xs="http://www.w3.org/2001/XMLSchema" xmlns:p="http://schemas.microsoft.com/office/2006/metadata/properties" xmlns:ns2="d349cead-d21d-4e4e-8a27-35c539b336cf" xmlns:ns3="3b006815-09cd-4a7a-bce7-ddd051d0a409" xmlns:ns4="a3176cc6-cc22-4693-90ae-cc6ce36f370f" targetNamespace="http://schemas.microsoft.com/office/2006/metadata/properties" ma:root="true" ma:fieldsID="556f4fd170520900df57ed168f8a7d92" ns2:_="" ns3:_="" ns4:_="">
    <xsd:import namespace="d349cead-d21d-4e4e-8a27-35c539b336cf"/>
    <xsd:import namespace="3b006815-09cd-4a7a-bce7-ddd051d0a409"/>
    <xsd:import namespace="a3176cc6-cc22-4693-90ae-cc6ce36f37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49cead-d21d-4e4e-8a27-35c539b336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f00e87a-7dbd-4fd4-96f1-bc45b03ae9f5"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006815-09cd-4a7a-bce7-ddd051d0a40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176cc6-cc22-4693-90ae-cc6ce36f370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4d4c24d-a7b7-41ab-961f-19a733c61d5e}" ma:internalName="TaxCatchAll" ma:showField="CatchAllData" ma:web="3b006815-09cd-4a7a-bce7-ddd051d0a4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3176cc6-cc22-4693-90ae-cc6ce36f370f" xsi:nil="true"/>
    <lcf76f155ced4ddcb4097134ff3c332f xmlns="d349cead-d21d-4e4e-8a27-35c539b336c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7611486-B44B-415C-BD7E-720392115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49cead-d21d-4e4e-8a27-35c539b336cf"/>
    <ds:schemaRef ds:uri="3b006815-09cd-4a7a-bce7-ddd051d0a409"/>
    <ds:schemaRef ds:uri="a3176cc6-cc22-4693-90ae-cc6ce36f37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CFCE9F-0F7C-44CF-B016-2AC6DAE34E3D}">
  <ds:schemaRefs>
    <ds:schemaRef ds:uri="http://schemas.microsoft.com/sharepoint/v3/contenttype/forms"/>
  </ds:schemaRefs>
</ds:datastoreItem>
</file>

<file path=customXml/itemProps3.xml><?xml version="1.0" encoding="utf-8"?>
<ds:datastoreItem xmlns:ds="http://schemas.openxmlformats.org/officeDocument/2006/customXml" ds:itemID="{DD4CEDFD-4E07-4F22-A7DB-EF878848E082}">
  <ds:schemaRefs>
    <ds:schemaRef ds:uri="http://schemas.openxmlformats.org/officeDocument/2006/bibliography"/>
  </ds:schemaRefs>
</ds:datastoreItem>
</file>

<file path=customXml/itemProps4.xml><?xml version="1.0" encoding="utf-8"?>
<ds:datastoreItem xmlns:ds="http://schemas.openxmlformats.org/officeDocument/2006/customXml" ds:itemID="{0B554039-07EC-4D68-9083-CBE749C73E86}">
  <ds:schemaRefs>
    <ds:schemaRef ds:uri="a3176cc6-cc22-4693-90ae-cc6ce36f370f"/>
    <ds:schemaRef ds:uri="http://schemas.openxmlformats.org/package/2006/metadata/core-properties"/>
    <ds:schemaRef ds:uri="http://www.w3.org/XML/1998/namespace"/>
    <ds:schemaRef ds:uri="http://purl.org/dc/elements/1.1/"/>
    <ds:schemaRef ds:uri="d349cead-d21d-4e4e-8a27-35c539b336cf"/>
    <ds:schemaRef ds:uri="http://schemas.microsoft.com/office/2006/documentManagement/types"/>
    <ds:schemaRef ds:uri="http://purl.org/dc/dcmitype/"/>
    <ds:schemaRef ds:uri="http://schemas.microsoft.com/office/infopath/2007/PartnerControls"/>
    <ds:schemaRef ds:uri="3b006815-09cd-4a7a-bce7-ddd051d0a409"/>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5990</Words>
  <Characters>33727</Characters>
  <Application>Microsoft Office Word</Application>
  <DocSecurity>4</DocSecurity>
  <Lines>613</Lines>
  <Paragraphs>249</Paragraphs>
  <ScaleCrop>false</ScaleCrop>
  <Company>Vector Limited</Company>
  <LinksUpToDate>false</LinksUpToDate>
  <CharactersWithSpaces>39468</CharactersWithSpaces>
  <SharedDoc>false</SharedDoc>
  <HLinks>
    <vt:vector size="42" baseType="variant">
      <vt:variant>
        <vt:i4>2031673</vt:i4>
      </vt:variant>
      <vt:variant>
        <vt:i4>32</vt:i4>
      </vt:variant>
      <vt:variant>
        <vt:i4>0</vt:i4>
      </vt:variant>
      <vt:variant>
        <vt:i4>5</vt:i4>
      </vt:variant>
      <vt:variant>
        <vt:lpwstr/>
      </vt:variant>
      <vt:variant>
        <vt:lpwstr>_Toc221724899</vt:lpwstr>
      </vt:variant>
      <vt:variant>
        <vt:i4>2031673</vt:i4>
      </vt:variant>
      <vt:variant>
        <vt:i4>26</vt:i4>
      </vt:variant>
      <vt:variant>
        <vt:i4>0</vt:i4>
      </vt:variant>
      <vt:variant>
        <vt:i4>5</vt:i4>
      </vt:variant>
      <vt:variant>
        <vt:lpwstr/>
      </vt:variant>
      <vt:variant>
        <vt:lpwstr>_Toc221724898</vt:lpwstr>
      </vt:variant>
      <vt:variant>
        <vt:i4>2031673</vt:i4>
      </vt:variant>
      <vt:variant>
        <vt:i4>20</vt:i4>
      </vt:variant>
      <vt:variant>
        <vt:i4>0</vt:i4>
      </vt:variant>
      <vt:variant>
        <vt:i4>5</vt:i4>
      </vt:variant>
      <vt:variant>
        <vt:lpwstr/>
      </vt:variant>
      <vt:variant>
        <vt:lpwstr>_Toc221724897</vt:lpwstr>
      </vt:variant>
      <vt:variant>
        <vt:i4>2031673</vt:i4>
      </vt:variant>
      <vt:variant>
        <vt:i4>14</vt:i4>
      </vt:variant>
      <vt:variant>
        <vt:i4>0</vt:i4>
      </vt:variant>
      <vt:variant>
        <vt:i4>5</vt:i4>
      </vt:variant>
      <vt:variant>
        <vt:lpwstr/>
      </vt:variant>
      <vt:variant>
        <vt:lpwstr>_Toc221724896</vt:lpwstr>
      </vt:variant>
      <vt:variant>
        <vt:i4>2031673</vt:i4>
      </vt:variant>
      <vt:variant>
        <vt:i4>8</vt:i4>
      </vt:variant>
      <vt:variant>
        <vt:i4>0</vt:i4>
      </vt:variant>
      <vt:variant>
        <vt:i4>5</vt:i4>
      </vt:variant>
      <vt:variant>
        <vt:lpwstr/>
      </vt:variant>
      <vt:variant>
        <vt:lpwstr>_Toc221724895</vt:lpwstr>
      </vt:variant>
      <vt:variant>
        <vt:i4>2031673</vt:i4>
      </vt:variant>
      <vt:variant>
        <vt:i4>2</vt:i4>
      </vt:variant>
      <vt:variant>
        <vt:i4>0</vt:i4>
      </vt:variant>
      <vt:variant>
        <vt:i4>5</vt:i4>
      </vt:variant>
      <vt:variant>
        <vt:lpwstr/>
      </vt:variant>
      <vt:variant>
        <vt:lpwstr>_Toc221724894</vt:lpwstr>
      </vt:variant>
      <vt:variant>
        <vt:i4>2752612</vt:i4>
      </vt:variant>
      <vt:variant>
        <vt:i4>0</vt:i4>
      </vt:variant>
      <vt:variant>
        <vt:i4>0</vt:i4>
      </vt:variant>
      <vt:variant>
        <vt:i4>5</vt:i4>
      </vt:variant>
      <vt:variant>
        <vt:lpwstr>https://protect.checkpoint.com/v2/r04/___https://environment.govt.nz/publications/better-planning-for-a-better-new-zealand___.Y3A0YTp2ZWN0b3JsdGQ6YzpvOjAwMjU0ODY2Mzk4NzU3MzEzM2Y0YTI1MjBkNzk3NjEwOjc6MDc3Mjo0MjdkODY0MThkMmJlYTNhNzhlZGRlNmVmNDhkYmI2NTM5ZTdhNGVmNTAwYzc2NWNmZjFmZmFjYmY1NjhjMmZlOnA6VDp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name</dc:title>
  <dc:creator>Anthony Acres</dc:creator>
  <cp:lastModifiedBy>Ashley Mills</cp:lastModifiedBy>
  <cp:revision>2</cp:revision>
  <cp:lastPrinted>2019-09-04T07:01:00Z</cp:lastPrinted>
  <dcterms:created xsi:type="dcterms:W3CDTF">2026-02-13T02:52:00Z</dcterms:created>
  <dcterms:modified xsi:type="dcterms:W3CDTF">2026-02-13T02:52:00Z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0x010100CD47CC0E7A16024D8F67C47CE370451B</vt:lpwstr>
  </property>
  <property fmtid="{D5CDD505-2E9C-101B-9397-08002B2CF9AE}" pid="3" name="docLang">
    <vt:lpwstr>en</vt:lpwstr>
  </property>
  <property fmtid="{D5CDD505-2E9C-101B-9397-08002B2CF9AE}" pid="4" name="Grouping">
    <vt:lpwstr>Project</vt:lpwstr>
  </property>
  <property fmtid="{D5CDD505-2E9C-101B-9397-08002B2CF9AE}" pid="5" name="MediaServiceImageTags">
    <vt:lpwstr/>
  </property>
  <property fmtid="{D5CDD505-2E9C-101B-9397-08002B2CF9AE}" pid="6" name="MSIP_Label_76a8155d-c8f7-42a3-9919-87e852f79cc7_ActionId">
    <vt:lpwstr>2ecf3e82-2f71-4fe5-8337-d9588e698533</vt:lpwstr>
  </property>
  <property fmtid="{D5CDD505-2E9C-101B-9397-08002B2CF9AE}" pid="7" name="MSIP_Label_76a8155d-c8f7-42a3-9919-87e852f79cc7_ContentBits">
    <vt:lpwstr>0</vt:lpwstr>
  </property>
  <property fmtid="{D5CDD505-2E9C-101B-9397-08002B2CF9AE}" pid="8" name="MSIP_Label_76a8155d-c8f7-42a3-9919-87e852f79cc7_Enabled">
    <vt:lpwstr>true</vt:lpwstr>
  </property>
  <property fmtid="{D5CDD505-2E9C-101B-9397-08002B2CF9AE}" pid="9" name="MSIP_Label_76a8155d-c8f7-42a3-9919-87e852f79cc7_Method">
    <vt:lpwstr>Standard</vt:lpwstr>
  </property>
  <property fmtid="{D5CDD505-2E9C-101B-9397-08002B2CF9AE}" pid="10" name="MSIP_Label_76a8155d-c8f7-42a3-9919-87e852f79cc7_Name">
    <vt:lpwstr>Internal Use Only</vt:lpwstr>
  </property>
  <property fmtid="{D5CDD505-2E9C-101B-9397-08002B2CF9AE}" pid="11" name="MSIP_Label_76a8155d-c8f7-42a3-9919-87e852f79cc7_SetDate">
    <vt:lpwstr>2025-12-09T18:01:00Z</vt:lpwstr>
  </property>
  <property fmtid="{D5CDD505-2E9C-101B-9397-08002B2CF9AE}" pid="12" name="MSIP_Label_76a8155d-c8f7-42a3-9919-87e852f79cc7_SiteId">
    <vt:lpwstr>94725052-a522-451b-800f-b8b735af6010</vt:lpwstr>
  </property>
  <property fmtid="{D5CDD505-2E9C-101B-9397-08002B2CF9AE}" pid="13" name="MSIP_Label_76a8155d-c8f7-42a3-9919-87e852f79cc7_Tag">
    <vt:lpwstr>10, 3, 0, 1</vt:lpwstr>
  </property>
</Properties>
</file>